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JCS-Manzanita</w:t>
      </w:r>
      <w:r w:rsidDel="00000000" w:rsidR="00000000" w:rsidRPr="00000000">
        <w:rPr>
          <w:sz w:val="24"/>
          <w:szCs w:val="24"/>
          <w:rtl w:val="0"/>
        </w:rPr>
        <w:t xml:space="preserve"> receives funds from the Federal government for Title I schools under the Every Student Succeeds Act (ESSA). As a parent of a child who attends a Title I school, you have the right to request and receive information regarding your child's education.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law, you have the right to: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information regarding the professional qualifications of your child's teacher;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notified if your child has been assigned to or taught by a teacher who is considered out -of­ field because the teacher does not hold certification in the subject area or grade level being taught;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Inquire if non-teacher personnel are providing instruction to your child and, if so, their professional qualifications;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provided information on your child's level of achievement and academic growth on state academic assessments.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request information regarding the qualifications of teachers and non-teachers providing instruction to your child, please call contact our Title I coordinator: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Sheryl McKay, Principal</w:t>
        <w:br w:type="textWrapping"/>
        <w:t xml:space="preserve">smckay@jcs-inc.org</w:t>
        <w:br w:type="textWrapping"/>
        <w:t xml:space="preserve">619-303-4344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will notify you about your child's level of achievement and academic growth on state academic assessments and if your child is assigned to a teacher who does not hold certification in the subject area or grade level being taught.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continued interest and involvement in your child's education.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333258</wp:posOffset>
          </wp:positionV>
          <wp:extent cx="1281113" cy="50205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020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40"/>
      <w:gridCol w:w="7020"/>
      <w:tblGridChange w:id="0">
        <w:tblGrid>
          <w:gridCol w:w="2340"/>
          <w:gridCol w:w="7020"/>
        </w:tblGrid>
      </w:tblGridChange>
    </w:tblGrid>
    <w:tr>
      <w:trPr>
        <w:cantSplit w:val="0"/>
        <w:trHeight w:val="926.2605794270833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540" w:right="0" w:firstLine="0"/>
            <w:jc w:val="left"/>
            <w:rPr>
              <w:rFonts w:ascii="Lora" w:cs="Lora" w:eastAsia="Lora" w:hAnsi="Lora"/>
              <w:b w:val="1"/>
              <w:sz w:val="32"/>
              <w:szCs w:val="32"/>
            </w:rPr>
          </w:pPr>
          <w:r w:rsidDel="00000000" w:rsidR="00000000" w:rsidRPr="00000000">
            <w:rPr>
              <w:rFonts w:ascii="Lora" w:cs="Lora" w:eastAsia="Lora" w:hAnsi="Lora"/>
              <w:b w:val="1"/>
              <w:sz w:val="32"/>
              <w:szCs w:val="32"/>
              <w:rtl w:val="0"/>
            </w:rPr>
            <w:t xml:space="preserve">Title I Annual Notice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