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24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Training Programs required by the School and conducted during regular working hours constitute work time and must be compensated.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24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After-hours training</w:t>
      </w:r>
      <w:r w:rsidDel="00000000" w:rsidR="00000000" w:rsidRPr="00000000">
        <w:rPr>
          <w:sz w:val="24"/>
          <w:szCs w:val="24"/>
          <w:rtl w:val="0"/>
        </w:rPr>
        <w:t xml:space="preserve"> (that is, attendance at lectures, meetings, training programs and similar activities) need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be counted as working time if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sz w:val="24"/>
          <w:szCs w:val="24"/>
          <w:rtl w:val="0"/>
        </w:rPr>
        <w:t xml:space="preserve"> of the following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sz w:val="24"/>
          <w:szCs w:val="24"/>
          <w:rtl w:val="0"/>
        </w:rPr>
        <w:t xml:space="preserve"> criteria are met: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after="12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outside </w:t>
      </w:r>
      <w:r w:rsidDel="00000000" w:rsidR="00000000" w:rsidRPr="00000000">
        <w:rPr>
          <w:sz w:val="24"/>
          <w:szCs w:val="24"/>
          <w:rtl w:val="0"/>
        </w:rPr>
        <w:t xml:space="preserve">of the employee’s regular working hours;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after="12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voluntary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after="12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training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not directly related</w:t>
      </w:r>
      <w:r w:rsidDel="00000000" w:rsidR="00000000" w:rsidRPr="00000000">
        <w:rPr>
          <w:sz w:val="24"/>
          <w:szCs w:val="24"/>
          <w:rtl w:val="0"/>
        </w:rPr>
        <w:t xml:space="preserve"> to the employee’s job: and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after="24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employee does not perform any productive work during such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Involuntary Attendance: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Attendance is not voluntary if it is required by the employer.  It is also not voluntary if the employee is given to understand or led to believe that his/her present working conditions or the continuance of employment would be adversely affected by non-attendance.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Training directly related to employee’s job: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Training is directly related to the employee’s job if it is designated to make the employee perform the job more effectively, as distinguished from training for another job, or for a new or additional skill.  For example, a stenographer who is given a course in stenography is engaged in an activity to make him/her a better stenographer.  Time spent in such a course is hours worked.  However, if the stenographer takes a course in bookkeeping, it may not be directly related to his/her job.  Thus, the time spent in taking such a bookkeeping course, outside of regular working hours, need not be counted as working time.  Where a training course is instituted for the bona-fide purpose of preparing for advancement through upgrading the employee to a higher skill, and is not intended to make the employee more efficient in his/her present job, the training is not considered directly related to the employee’s job even though the course incidentally improves his/her skill in doing his/her regular work.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Independent Training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If an employee on his/her own initiative attends an independent school, college, or independent trade school after hours, the time is not hours worked for his/her employer even if the courses are related to his/her job.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Exceptions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Any exceptions to this policy are at the discretion of the Board, based on recommendation by the Executive Director.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Procedure: 02/27/01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Procedure: 03/07/08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Procedure: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680"/>
      </w:tabs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8018.1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Pay and Attendance at Training Programs Policy</w:t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8018.2 JCS, Inc. Pay and Attendance at Training Programs Admin Regs</w:t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4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5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6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8018.2 Pay and Attendance at Training Programs Administrative Regulations</w:t>
                </w:r>
              </w:p>
              <w:p w:rsidR="00000000" w:rsidDel="00000000" w:rsidP="00000000" w:rsidRDefault="00000000" w:rsidRPr="00000000" w14:paraId="00000017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9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</w:tr>
        </w:tbl>
        <w:p w:rsidR="00000000" w:rsidDel="00000000" w:rsidP="00000000" w:rsidRDefault="00000000" w:rsidRPr="00000000" w14:paraId="0000001B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C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D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81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