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Procedures: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spacing w:before="120" w:lineRule="auto"/>
        <w:ind w:left="45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Acceptable Use Agreement is included in the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JCS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Parent Handbook and discussed at parent orientation meetings.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before="120" w:lineRule="auto"/>
        <w:ind w:left="45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copy of the Acceptable Use Agreement is reviewed by the educational facilitator and/or staff member coordinating with the family on the enrollment packet.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before="120" w:lineRule="auto"/>
        <w:ind w:left="45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signed copy of the Acceptable Use Agreement is maintained at each academy site for academy students, and an acknowledgement of receipt and acceptance is maintained in the main office.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before="120" w:lineRule="auto"/>
        <w:ind w:left="45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Educational Facilitators, Learning Center and Academy teachers and other staff members and/or parents responsible for student Internet use and/or website postings must be cognizant of the Acceptable Use Policy and Acceptable Use Agreement permission status of all students enrolled with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before="120" w:lineRule="auto"/>
        <w:ind w:left="45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Acceptable Use Agreement and policy are reviewed on a regular basis by the Director or his/her designee and updates and modifications are made as needed.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before="120" w:lineRule="auto"/>
        <w:ind w:left="45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Teachers, parents and/or staff will instruct students in appropriate ways to access and use Internet resources.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before="120" w:lineRule="auto"/>
        <w:ind w:left="45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Teachers, parents and/or staff will use reasonable measures to ensure that information gathered from the Internet appropriately supports educational purposes.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before="120" w:lineRule="auto"/>
        <w:ind w:left="45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JCS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has taken reasonable precautions to restrict access to materials it considers harmful and to materials that do not support approved educational objectives.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before="120" w:lineRule="auto"/>
        <w:ind w:left="45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Before identifying a student by name or photo, the school must have on file a Parent/Guardian Release with the applicable student work/pictures permission section signed by the parent authorizing publication.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before="120" w:lineRule="auto"/>
        <w:ind w:left="45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will refer, to his or her direct supervisor, any individual who violates provisions of this policy for disciplinary action.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before="120" w:lineRule="auto"/>
        <w:ind w:left="45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Cancellation of user privileges and other consequences will be at the discretion of the staff.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Original Procedure 12/3/04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Procedure 06/9/06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Procedure 09/10/09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Procedure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06/05/2020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Hearing 01/30/2023</w:t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598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Acceptable Use Agreement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5016.2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Acceptable Use </w:t>
    </w:r>
    <w:r w:rsidDel="00000000" w:rsidR="00000000" w:rsidRPr="00000000">
      <w:rPr>
        <w:sz w:val="22"/>
        <w:szCs w:val="22"/>
        <w:rtl w:val="0"/>
      </w:rPr>
      <w:t xml:space="preserve">Administrative Regulations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</w:t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1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19">
          <w:pPr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A">
          <w:pPr>
            <w:widowControl w:val="0"/>
            <w:rPr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B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  <w:rtl w:val="0"/>
                  </w:rPr>
                  <w:t xml:space="preserve">5016.2 Acceptable Use Administrative Regulations</w:t>
                </w:r>
              </w:p>
              <w:p w:rsidR="00000000" w:rsidDel="00000000" w:rsidP="00000000" w:rsidRDefault="00000000" w:rsidRPr="00000000" w14:paraId="0000001C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E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June 5, 2020</w:t>
                </w:r>
              </w:p>
            </w:tc>
          </w:tr>
        </w:tbl>
        <w:p w:rsidR="00000000" w:rsidDel="00000000" w:rsidP="00000000" w:rsidRDefault="00000000" w:rsidRPr="00000000" w14:paraId="00000020">
          <w:pPr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1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22">
          <w:pPr>
            <w:widowControl w:val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tabs>
        <w:tab w:val="center" w:leader="none" w:pos="4680"/>
        <w:tab w:val="right" w:leader="none" w:pos="9360"/>
      </w:tabs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307340" cy="28702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7093" y="3641253"/>
                        <a:ext cx="2978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307340" cy="28702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340" cy="287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