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4136"/>
        </w:tabs>
        <w:ind w:left="0" w:right="-81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JCS, Inc. (JCS) policy is to comply with applicable federal and state laws and regulations. JCS is the local agency primarily responsible for compliance with federal and state laws and regulations governing educational programs. Pursuant to this policy, persons responsible for conducting investigations shall be knowledgeable about the laws and programs which they are assigned to investigate. This complaint procedure is adopted to provide a uniform system of complaint processing for the following types of complaints:</w:t>
      </w:r>
      <w:r w:rsidDel="00000000" w:rsidR="00000000" w:rsidRPr="00000000">
        <w:rPr>
          <w:rtl w:val="0"/>
        </w:rPr>
      </w:r>
    </w:p>
    <w:p w:rsidR="00000000" w:rsidDel="00000000" w:rsidP="00000000" w:rsidRDefault="00000000" w:rsidRPr="00000000" w14:paraId="00000004">
      <w:pPr>
        <w:pageBreakBefore w:val="0"/>
        <w:numPr>
          <w:ilvl w:val="1"/>
          <w:numId w:val="1"/>
        </w:numPr>
        <w:spacing w:after="200" w:lineRule="auto"/>
        <w:ind w:left="540" w:hanging="5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Complaints of unlawful discrimination, harassment, intimidation or bullying against any protected group, including actual or perceived discrimination, on the basis of the actual or perceived characteristics of age, ancestry, color, mental disability, physical disability, ethnic group identification, gender expression, gender identity, gender, genetic information, nationality, national origin, race or ethnicity, religion, medical condition, marital status, sex, or sexual orientation, or on the basis of a person’s association with a person or group with one or more of these actual or perceived characteristics in any JCS school or activity; and </w:t>
      </w:r>
    </w:p>
    <w:p w:rsidR="00000000" w:rsidDel="00000000" w:rsidP="00000000" w:rsidRDefault="00000000" w:rsidRPr="00000000" w14:paraId="00000005">
      <w:pPr>
        <w:pageBreakBefore w:val="0"/>
        <w:numPr>
          <w:ilvl w:val="1"/>
          <w:numId w:val="1"/>
        </w:numPr>
        <w:spacing w:after="200" w:before="0" w:lineRule="auto"/>
        <w:ind w:left="540" w:hanging="5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Complaints of violations of state or federal law and regulations governing the following programs including but not limited to: Adult Education Programs, After School Education and Safety Programs, Agricultural Vocational Education Programs, American Indian Education Centers and Early Child Education Program Assessments, Consolidated Categorical Aid Programs, Career Technical and Technical Education and Career Technical and Technical Training Programs, Child Care and Development Programs, Child Nutrition Programs, Foster and Homeless Youth Services, Migrant Education Programs, Every Student Succeeds Act / No Child Left Behind Act (2001) Programs (Titles I-VII), including improving academic achievement, compensatory education, limited English proficiency, and migrant education, Regional Occupational Centers and Programs, Special Education Programs, State Preschool, Bilingual Education, Economic Impact Aid, and Tobacco-Use Prevention Education.</w:t>
      </w:r>
    </w:p>
    <w:p w:rsidR="00000000" w:rsidDel="00000000" w:rsidP="00000000" w:rsidRDefault="00000000" w:rsidRPr="00000000" w14:paraId="00000006">
      <w:pPr>
        <w:pageBreakBefore w:val="0"/>
        <w:numPr>
          <w:ilvl w:val="1"/>
          <w:numId w:val="1"/>
        </w:numPr>
        <w:spacing w:after="200" w:before="0" w:lineRule="auto"/>
        <w:ind w:left="540" w:hanging="5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complaint may also be filed alleging that a pupil enrolled in a public school was required to pay a pupil fee</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for participation in an educational activity as those terms are defined below.</w:t>
      </w:r>
      <w:r w:rsidDel="00000000" w:rsidR="00000000" w:rsidRPr="00000000">
        <w:rPr>
          <w:rtl w:val="0"/>
        </w:rPr>
      </w:r>
    </w:p>
    <w:p w:rsidR="00000000" w:rsidDel="00000000" w:rsidP="00000000" w:rsidRDefault="00000000" w:rsidRPr="00000000" w14:paraId="00000007">
      <w:pPr>
        <w:pageBreakBefore w:val="0"/>
        <w:numPr>
          <w:ilvl w:val="2"/>
          <w:numId w:val="1"/>
        </w:numPr>
        <w:spacing w:after="200" w:before="0" w:lineRule="auto"/>
        <w:ind w:left="99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“Educational activity” means an activity offered by a school, school district, charter school or county office of education that constitutes an integral fundamental part of elementary and secondary education, including, but not limited to, curricular and extracurricular activities.</w:t>
      </w:r>
      <w:r w:rsidDel="00000000" w:rsidR="00000000" w:rsidRPr="00000000">
        <w:rPr>
          <w:rtl w:val="0"/>
        </w:rPr>
      </w:r>
    </w:p>
    <w:p w:rsidR="00000000" w:rsidDel="00000000" w:rsidP="00000000" w:rsidRDefault="00000000" w:rsidRPr="00000000" w14:paraId="00000008">
      <w:pPr>
        <w:pageBreakBefore w:val="0"/>
        <w:numPr>
          <w:ilvl w:val="2"/>
          <w:numId w:val="1"/>
        </w:numPr>
        <w:spacing w:after="200" w:before="0" w:lineRule="auto"/>
        <w:ind w:left="99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“Pupil fee” means a fee, deposit or other charge imposed on pupils, or a pupil’s parents or guardians, in violation of Section 49011 of the Education Code and Section 5 of Article IX of the California Constitution, which require educational activities to be provided free of charge to all pupils without regard to their families’ ability or willingness to pay fees or request special waivers, as provided for in </w:t>
      </w:r>
      <w:r w:rsidDel="00000000" w:rsidR="00000000" w:rsidRPr="00000000">
        <w:rPr>
          <w:rFonts w:ascii="Times New Roman" w:cs="Times New Roman" w:eastAsia="Times New Roman" w:hAnsi="Times New Roman"/>
          <w:i w:val="1"/>
          <w:color w:val="000000"/>
          <w:sz w:val="22"/>
          <w:szCs w:val="22"/>
          <w:rtl w:val="0"/>
        </w:rPr>
        <w:t xml:space="preserve">Hartzell v. Connell </w:t>
      </w:r>
      <w:r w:rsidDel="00000000" w:rsidR="00000000" w:rsidRPr="00000000">
        <w:rPr>
          <w:rFonts w:ascii="Times New Roman" w:cs="Times New Roman" w:eastAsia="Times New Roman" w:hAnsi="Times New Roman"/>
          <w:color w:val="000000"/>
          <w:sz w:val="22"/>
          <w:szCs w:val="22"/>
          <w:rtl w:val="0"/>
        </w:rPr>
        <w:t xml:space="preserve">(1984) 35 Cal.3d 899. A pupil fee includes, but is not limited to, all of the following:</w:t>
        <w:br w:type="textWrapping"/>
        <w:t xml:space="preserve"> </w:t>
      </w:r>
      <w:r w:rsidDel="00000000" w:rsidR="00000000" w:rsidRPr="00000000">
        <w:rPr>
          <w:rtl w:val="0"/>
        </w:rPr>
      </w:r>
    </w:p>
    <w:p w:rsidR="00000000" w:rsidDel="00000000" w:rsidP="00000000" w:rsidRDefault="00000000" w:rsidRPr="00000000" w14:paraId="00000009">
      <w:pPr>
        <w:pageBreakBefore w:val="0"/>
        <w:numPr>
          <w:ilvl w:val="3"/>
          <w:numId w:val="1"/>
        </w:numPr>
        <w:spacing w:after="200" w:before="0" w:lineRule="auto"/>
        <w:ind w:left="171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fee charged to a pupil as a condition for registering for school or classes, or as a condition for participation in a class or an extracurricular activity, regardless of whether the class or activity is elective or compulsory, or is for credit. </w:t>
      </w:r>
      <w:r w:rsidDel="00000000" w:rsidR="00000000" w:rsidRPr="00000000">
        <w:rPr>
          <w:rtl w:val="0"/>
        </w:rPr>
      </w:r>
    </w:p>
    <w:p w:rsidR="00000000" w:rsidDel="00000000" w:rsidP="00000000" w:rsidRDefault="00000000" w:rsidRPr="00000000" w14:paraId="0000000A">
      <w:pPr>
        <w:pageBreakBefore w:val="0"/>
        <w:numPr>
          <w:ilvl w:val="3"/>
          <w:numId w:val="1"/>
        </w:numPr>
        <w:spacing w:after="200" w:before="0" w:lineRule="auto"/>
        <w:ind w:left="171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security deposit, or other payment, that a pupil is required to make to obtain a lock, locker, book, class apparatus, musical instrument, uniform or other materials or equipment. </w:t>
      </w:r>
      <w:r w:rsidDel="00000000" w:rsidR="00000000" w:rsidRPr="00000000">
        <w:rPr>
          <w:rtl w:val="0"/>
        </w:rPr>
      </w:r>
    </w:p>
    <w:p w:rsidR="00000000" w:rsidDel="00000000" w:rsidP="00000000" w:rsidRDefault="00000000" w:rsidRPr="00000000" w14:paraId="0000000B">
      <w:pPr>
        <w:pageBreakBefore w:val="0"/>
        <w:numPr>
          <w:ilvl w:val="3"/>
          <w:numId w:val="1"/>
        </w:numPr>
        <w:spacing w:after="200" w:before="0" w:lineRule="auto"/>
        <w:ind w:left="171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purchase that a pupil is required to make to obtain materials, supplies, equipment or uniforms associated with an educational activity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C">
      <w:pPr>
        <w:pageBreakBefore w:val="0"/>
        <w:numPr>
          <w:ilvl w:val="2"/>
          <w:numId w:val="1"/>
        </w:numPr>
        <w:spacing w:after="200" w:before="0" w:lineRule="auto"/>
        <w:ind w:left="99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pupil fees complaint may be filed anonymously if the complaint provides evidence or information leading to evidence to support an allegation of noncompliance with laws relating to pupil fees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D">
      <w:pPr>
        <w:pageBreakBefore w:val="0"/>
        <w:numPr>
          <w:ilvl w:val="2"/>
          <w:numId w:val="1"/>
        </w:numPr>
        <w:spacing w:after="200" w:before="0" w:lineRule="auto"/>
        <w:ind w:left="99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JCS</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finds merit in a pupil fees complaint JCS shall provide a remedy to all affected pupils, parents, and guardians that, where applicable, includes reasonable efforts by JCS </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to ensure full reimbursement to all affected pupils, parents, and guardians, subject to procedures established through regulations adopted by the state board.</w:t>
      </w:r>
      <w:r w:rsidDel="00000000" w:rsidR="00000000" w:rsidRPr="00000000">
        <w:rPr>
          <w:rtl w:val="0"/>
        </w:rPr>
      </w:r>
    </w:p>
    <w:p w:rsidR="00000000" w:rsidDel="00000000" w:rsidP="00000000" w:rsidRDefault="00000000" w:rsidRPr="00000000" w14:paraId="0000000E">
      <w:pPr>
        <w:pageBreakBefore w:val="0"/>
        <w:numPr>
          <w:ilvl w:val="2"/>
          <w:numId w:val="1"/>
        </w:numPr>
        <w:spacing w:after="200" w:before="0" w:lineRule="auto"/>
        <w:ind w:left="990" w:hanging="45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Nothing in this section shall be interpreted to prohibit solicitation of voluntary donations of funds or property, voluntary participation in fundraising activities, or school districts, school, and other entities from providing pupils prizes or other recognition for voluntarily participating in fundraising activities.</w:t>
      </w:r>
      <w:r w:rsidDel="00000000" w:rsidR="00000000" w:rsidRPr="00000000">
        <w:rPr>
          <w:rtl w:val="0"/>
        </w:rPr>
      </w:r>
    </w:p>
    <w:p w:rsidR="00000000" w:rsidDel="00000000" w:rsidP="00000000" w:rsidRDefault="00000000" w:rsidRPr="00000000" w14:paraId="0000000F">
      <w:pPr>
        <w:pageBreakBefore w:val="0"/>
        <w:numPr>
          <w:ilvl w:val="1"/>
          <w:numId w:val="1"/>
        </w:numPr>
        <w:spacing w:after="200" w:before="0" w:lineRule="auto"/>
        <w:ind w:left="540" w:hanging="5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Complaints of noncompliance with the requirements governing the Local Control Funding Formula or Sections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47606.5 and 47607.3 of the Education Code, as applicable.</w:t>
      </w:r>
      <w:r w:rsidDel="00000000" w:rsidR="00000000" w:rsidRPr="00000000">
        <w:rPr>
          <w:rtl w:val="0"/>
        </w:rPr>
      </w:r>
    </w:p>
    <w:p w:rsidR="00000000" w:rsidDel="00000000" w:rsidP="00000000" w:rsidRDefault="00000000" w:rsidRPr="00000000" w14:paraId="00000010">
      <w:pPr>
        <w:pageBreakBefore w:val="0"/>
        <w:numPr>
          <w:ilvl w:val="1"/>
          <w:numId w:val="1"/>
        </w:numPr>
        <w:spacing w:after="200" w:lineRule="auto"/>
        <w:ind w:left="540" w:hanging="5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Complaints of noncompliance with the requirements of Education Code Section 222 regarding the rights of lactating pupils on a school campus. If JCS finds merit in a complaint, or if the Superintendent finds merit in an appeal, JCS shall provide a remedy to the affected pupil.</w:t>
      </w:r>
    </w:p>
    <w:p w:rsidR="00000000" w:rsidDel="00000000" w:rsidP="00000000" w:rsidRDefault="00000000" w:rsidRPr="00000000" w14:paraId="00000011">
      <w:pPr>
        <w:pageBreakBefore w:val="0"/>
        <w:spacing w:after="20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JCS acknowledges and respects every individual’s rights to privacy. Unlawful discrimination, harassment, intimidation or bullying complaints shall be investigated in a manner that protects (to the greatest extent reasonably possible) the confidentiality of the parties and the integrity of the process.  JCS cannot guarantee anonymity of the complainant. This includes keeping the identity of the complainant confidential.  However, JCS will attempt to do so as appropriate. JCS may find it necessary to disclose information regarding the complaint/complainant to the extent necessary to carry out the investigation or proceedings, as determined by the Executive Director or designee on a case-by-case basis.</w:t>
      </w:r>
      <w:r w:rsidDel="00000000" w:rsidR="00000000" w:rsidRPr="00000000">
        <w:rPr>
          <w:rtl w:val="0"/>
        </w:rPr>
      </w:r>
    </w:p>
    <w:p w:rsidR="00000000" w:rsidDel="00000000" w:rsidP="00000000" w:rsidRDefault="00000000" w:rsidRPr="00000000" w14:paraId="00000012">
      <w:pPr>
        <w:pageBreakBefore w:val="0"/>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JCS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prohibits any form of retaliation against any complainant in the complaint process, including but not limited to a complainant’s filing of a complaint or the reporting of instances of unlawful discrimination, harassment, intimidation or bullying. Such participation shall not in any way affect the status, grades or work assignments of the complainant.</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r w:rsidDel="00000000" w:rsidR="00000000" w:rsidRPr="00000000">
        <w:rPr>
          <w:rFonts w:ascii="Times New Roman" w:cs="Times New Roman" w:eastAsia="Times New Roman" w:hAnsi="Times New Roman"/>
          <w:b w:val="1"/>
          <w:color w:val="000000"/>
          <w:sz w:val="22"/>
          <w:szCs w:val="22"/>
          <w:rtl w:val="0"/>
        </w:rPr>
        <w:t xml:space="preserve">Compliance Officers</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The Board of Directors designates the following compliance officer(s) to receive and investigate complaints and to ensure JCS’s </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compliance with law:</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pageBreakBefore w:val="0"/>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Jennifer Cauzza</w:t>
      </w:r>
      <w:r w:rsidDel="00000000" w:rsidR="00000000" w:rsidRPr="00000000">
        <w:rPr>
          <w:rtl w:val="0"/>
        </w:rPr>
      </w:r>
    </w:p>
    <w:p w:rsidR="00000000" w:rsidDel="00000000" w:rsidP="00000000" w:rsidRDefault="00000000" w:rsidRPr="00000000" w14:paraId="00000018">
      <w:pPr>
        <w:pageBreakBefore w:val="0"/>
        <w:ind w:left="720" w:firstLine="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sz w:val="22"/>
          <w:szCs w:val="22"/>
          <w:rtl w:val="0"/>
        </w:rPr>
        <w:t xml:space="preserve">Executive Director</w:t>
      </w:r>
      <w:r w:rsidDel="00000000" w:rsidR="00000000" w:rsidRPr="00000000">
        <w:rPr>
          <w:rtl w:val="0"/>
        </w:rPr>
      </w:r>
    </w:p>
    <w:p w:rsidR="00000000" w:rsidDel="00000000" w:rsidP="00000000" w:rsidRDefault="00000000" w:rsidRPr="00000000" w14:paraId="00000019">
      <w:pPr>
        <w:pageBreakBefore w:val="0"/>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1704 Cape Horn Drive, P.O. Box 2470</w:t>
      </w:r>
      <w:r w:rsidDel="00000000" w:rsidR="00000000" w:rsidRPr="00000000">
        <w:rPr>
          <w:rtl w:val="0"/>
        </w:rPr>
      </w:r>
    </w:p>
    <w:p w:rsidR="00000000" w:rsidDel="00000000" w:rsidP="00000000" w:rsidRDefault="00000000" w:rsidRPr="00000000" w14:paraId="0000001A">
      <w:pPr>
        <w:pageBreakBefore w:val="0"/>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Julian, CA 92036</w:t>
      </w:r>
      <w:r w:rsidDel="00000000" w:rsidR="00000000" w:rsidRPr="00000000">
        <w:rPr>
          <w:rtl w:val="0"/>
        </w:rPr>
      </w:r>
    </w:p>
    <w:p w:rsidR="00000000" w:rsidDel="00000000" w:rsidP="00000000" w:rsidRDefault="00000000" w:rsidRPr="00000000" w14:paraId="0000001B">
      <w:pPr>
        <w:pageBreakBefore w:val="0"/>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760-765-5500 X101005  </w:t>
      </w:r>
      <w:r w:rsidDel="00000000" w:rsidR="00000000" w:rsidRPr="00000000">
        <w:rPr>
          <w:rtl w:val="0"/>
        </w:rPr>
      </w:r>
    </w:p>
    <w:p w:rsidR="00000000" w:rsidDel="00000000" w:rsidP="00000000" w:rsidRDefault="00000000" w:rsidRPr="00000000" w14:paraId="0000001C">
      <w:pPr>
        <w:pageBreakBefore w:val="0"/>
        <w:ind w:left="720" w:firstLine="0"/>
        <w:rPr>
          <w:rFonts w:ascii="Times New Roman" w:cs="Times New Roman" w:eastAsia="Times New Roman" w:hAnsi="Times New Roman"/>
          <w:color w:val="000000"/>
          <w:sz w:val="22"/>
          <w:szCs w:val="22"/>
        </w:rPr>
      </w:pPr>
      <w:hyperlink r:id="rId6">
        <w:r w:rsidDel="00000000" w:rsidR="00000000" w:rsidRPr="00000000">
          <w:rPr>
            <w:rFonts w:ascii="Times New Roman" w:cs="Times New Roman" w:eastAsia="Times New Roman" w:hAnsi="Times New Roman"/>
            <w:color w:val="000000"/>
            <w:sz w:val="22"/>
            <w:szCs w:val="22"/>
            <w:u w:val="single"/>
            <w:rtl w:val="0"/>
          </w:rPr>
          <w:t xml:space="preserve">jcauzza@jcs-inc.org</w:t>
        </w:r>
      </w:hyperlink>
      <w:r w:rsidDel="00000000" w:rsidR="00000000" w:rsidRPr="00000000">
        <w:rPr>
          <w:rtl w:val="0"/>
        </w:rPr>
      </w:r>
    </w:p>
    <w:p w:rsidR="00000000" w:rsidDel="00000000" w:rsidP="00000000" w:rsidRDefault="00000000" w:rsidRPr="00000000" w14:paraId="0000001D">
      <w:pPr>
        <w:pageBreakBefore w:val="0"/>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The Executive Director or designee shall ensure that employees designated to investigate complaints are knowledgeable about the laws and programs for which they are responsible.  Designated employees may have access to legal counsel as determined by the Executive Director or designee.</w:t>
      </w: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Should a complaint be filed against the Executive Director, the compliance officer for that case shall be the President of the JCS </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Board of Directors.</w:t>
      </w: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Notifications</w:t>
      </w: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The Executive Director or designee shall annually provide written notification of JCS’s</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uniform complaint procedures to employees, students, parents and/or guardians, advisory committees, private school officials and other interested parties (e.g., Adult Education). </w:t>
      </w: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The annual notice shall be in English, and when necessary, in the primary language, pursuant to section 48985 of the Education Code if fifteen (15) percent or more of the pupils enrolled in JCS speak a single primary language other than English.</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The Executive Director or designee shall make available copies of JCS’s uniform complaint procedures free of charge. </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The annual notice shall include the following:</w:t>
      </w:r>
      <w:r w:rsidDel="00000000" w:rsidR="00000000" w:rsidRPr="00000000">
        <w:rPr>
          <w:rtl w:val="0"/>
        </w:rPr>
      </w:r>
    </w:p>
    <w:p w:rsidR="00000000" w:rsidDel="00000000" w:rsidP="00000000" w:rsidRDefault="00000000" w:rsidRPr="00000000" w14:paraId="0000002C">
      <w:pPr>
        <w:pageBreakBefore w:val="0"/>
        <w:numPr>
          <w:ilvl w:val="0"/>
          <w:numId w:val="2"/>
        </w:numPr>
        <w:spacing w:after="200" w:before="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statement that JCS </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is primarily responsible for compliance with federal and state laws and regulations.</w:t>
      </w:r>
      <w:r w:rsidDel="00000000" w:rsidR="00000000" w:rsidRPr="00000000">
        <w:rPr>
          <w:rtl w:val="0"/>
        </w:rPr>
      </w:r>
    </w:p>
    <w:p w:rsidR="00000000" w:rsidDel="00000000" w:rsidP="00000000" w:rsidRDefault="00000000" w:rsidRPr="00000000" w14:paraId="0000002D">
      <w:pPr>
        <w:pageBreakBefore w:val="0"/>
        <w:numPr>
          <w:ilvl w:val="0"/>
          <w:numId w:val="3"/>
        </w:numPr>
        <w:spacing w:after="200" w:before="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statement that a pupil enrolled in a public school shall not be required to pay a pupil fee for participation in an educational activity.</w:t>
      </w:r>
      <w:r w:rsidDel="00000000" w:rsidR="00000000" w:rsidRPr="00000000">
        <w:rPr>
          <w:rtl w:val="0"/>
        </w:rPr>
      </w:r>
    </w:p>
    <w:p w:rsidR="00000000" w:rsidDel="00000000" w:rsidP="00000000" w:rsidRDefault="00000000" w:rsidRPr="00000000" w14:paraId="0000002E">
      <w:pPr>
        <w:pageBreakBefore w:val="0"/>
        <w:numPr>
          <w:ilvl w:val="0"/>
          <w:numId w:val="4"/>
        </w:numPr>
        <w:spacing w:after="200" w:before="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statement identifying the responsible staff member, position, or unit designated to receive complaints. </w:t>
      </w:r>
      <w:r w:rsidDel="00000000" w:rsidR="00000000" w:rsidRPr="00000000">
        <w:rPr>
          <w:rtl w:val="0"/>
        </w:rPr>
      </w:r>
    </w:p>
    <w:p w:rsidR="00000000" w:rsidDel="00000000" w:rsidP="00000000" w:rsidRDefault="00000000" w:rsidRPr="00000000" w14:paraId="0000002F">
      <w:pPr>
        <w:pageBreakBefore w:val="0"/>
        <w:numPr>
          <w:ilvl w:val="0"/>
          <w:numId w:val="5"/>
        </w:numPr>
        <w:spacing w:after="200" w:before="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statement that the complainant has a right to appeal JCS 's decision to the CDE by filing a written appeal within 15 days of receiving JCS’s decision. </w:t>
      </w:r>
      <w:r w:rsidDel="00000000" w:rsidR="00000000" w:rsidRPr="00000000">
        <w:rPr>
          <w:rtl w:val="0"/>
        </w:rPr>
      </w:r>
    </w:p>
    <w:p w:rsidR="00000000" w:rsidDel="00000000" w:rsidP="00000000" w:rsidRDefault="00000000" w:rsidRPr="00000000" w14:paraId="00000030">
      <w:pPr>
        <w:pageBreakBefore w:val="0"/>
        <w:numPr>
          <w:ilvl w:val="0"/>
          <w:numId w:val="6"/>
        </w:numPr>
        <w:spacing w:after="200" w:before="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statement advising the complainant of any civil law remedies that may be available under state or federal discrimination, harassment, intimidation or bullying laws, if applicable, and of the appeal pursuant to Education Code § 262.3.</w:t>
      </w:r>
      <w:r w:rsidDel="00000000" w:rsidR="00000000" w:rsidRPr="00000000">
        <w:rPr>
          <w:rtl w:val="0"/>
        </w:rPr>
      </w:r>
    </w:p>
    <w:p w:rsidR="00000000" w:rsidDel="00000000" w:rsidP="00000000" w:rsidRDefault="00000000" w:rsidRPr="00000000" w14:paraId="00000031">
      <w:pPr>
        <w:pageBreakBefore w:val="0"/>
        <w:numPr>
          <w:ilvl w:val="0"/>
          <w:numId w:val="7"/>
        </w:numPr>
        <w:spacing w:after="28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statement that copies of the local educational agency complaint procedures shall be available free of charge. </w:t>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A">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pageBreakBefore w:val="0"/>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pageBreakBefore w:val="0"/>
        <w:ind w:right="-117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Original Policy 12/17/2004</w:t>
      </w:r>
    </w:p>
    <w:p w:rsidR="00000000" w:rsidDel="00000000" w:rsidP="00000000" w:rsidRDefault="00000000" w:rsidRPr="00000000" w14:paraId="0000003E">
      <w:pPr>
        <w:pageBreakBefore w:val="0"/>
        <w:ind w:right="-117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Revised Policy 06/09/2017</w:t>
      </w:r>
    </w:p>
    <w:p w:rsidR="00000000" w:rsidDel="00000000" w:rsidP="00000000" w:rsidRDefault="00000000" w:rsidRPr="00000000" w14:paraId="0000003F">
      <w:pPr>
        <w:pageBreakBefore w:val="0"/>
        <w:ind w:right="-1170"/>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Revised Policy 05/08/2020</w:t>
      </w:r>
      <w:r w:rsidDel="00000000" w:rsidR="00000000" w:rsidRPr="00000000">
        <w:rPr>
          <w:rtl w:val="0"/>
        </w:rPr>
      </w:r>
    </w:p>
    <w:p w:rsidR="00000000" w:rsidDel="00000000" w:rsidP="00000000" w:rsidRDefault="00000000" w:rsidRPr="00000000" w14:paraId="00000040">
      <w:pPr>
        <w:pageBreakBefore w:val="0"/>
        <w:ind w:left="-360" w:right="-1170" w:firstLine="0"/>
        <w:rPr>
          <w:rFonts w:ascii="Times New Roman" w:cs="Times New Roman" w:eastAsia="Times New Roman" w:hAnsi="Times New Roman"/>
        </w:rPr>
      </w:pPr>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2001.1 JCS, In</w:t>
    </w:r>
    <w:r w:rsidDel="00000000" w:rsidR="00000000" w:rsidRPr="00000000">
      <w:rPr>
        <w:rtl w:val="0"/>
      </w:rPr>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Uniform Complaint</w:t>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 2001.1 JCS, Inc. Uniform Complaint</w:t>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3</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44">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2001.1 Uniform Complaint Procedures (UCP) Policy</w:t>
                </w:r>
              </w:p>
              <w:p w:rsidR="00000000" w:rsidDel="00000000" w:rsidP="00000000" w:rsidRDefault="00000000" w:rsidRPr="00000000" w14:paraId="00000046">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4A">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0" w:firstLine="0"/>
      </w:pPr>
      <w:rPr/>
    </w:lvl>
    <w:lvl w:ilvl="2">
      <w:start w:val="1"/>
      <w:numFmt w:val="lowerLetter"/>
      <w:lvlText w:val="%3."/>
      <w:lvlJc w:val="left"/>
      <w:pPr>
        <w:ind w:left="2160" w:hanging="360"/>
      </w:pPr>
      <w:rPr/>
    </w:lvl>
    <w:lvl w:ilvl="3">
      <w:start w:val="1"/>
      <w:numFmt w:val="lowerRoman"/>
      <w:lvlText w:val="%4."/>
      <w:lvlJc w:val="right"/>
      <w:pPr>
        <w:ind w:left="1710" w:hanging="45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4"/>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5"/>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6"/>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jcauzza@juliancharterschool.org"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