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 is the policy that all employees of JCS, Inc. (JCS) are prohibited from accepting gifts of other than nominal value ($25 or less) from companies or organizations doing business with the JCS.  Exceptions to this policy are the acceptance of minor items, which are generally distributed by the company or organization through their public relations program.</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tabs>
          <w:tab w:val="left" w:leader="none" w:pos="6196"/>
        </w:tabs>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1D">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02/27/01</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Policy 06/06/08</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right="-1170" w:hanging="180"/>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Gifts from Companies P</w:t>
    </w:r>
    <w:r w:rsidDel="00000000" w:rsidR="00000000" w:rsidRPr="00000000">
      <w:rPr>
        <w:sz w:val="22"/>
        <w:szCs w:val="22"/>
        <w:rtl w:val="0"/>
      </w:rPr>
      <w:t xml:space="preserve">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Internal Control</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9">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B">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4012.1 Gifts from Companies Policy </w:t>
                </w:r>
              </w:p>
              <w:p w:rsidR="00000000" w:rsidDel="00000000" w:rsidP="00000000" w:rsidRDefault="00000000" w:rsidRPr="00000000" w14:paraId="0000002D">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1">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