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color w:val="000000"/>
          <w:sz w:val="32"/>
          <w:szCs w:val="32"/>
          <w:u w:val="single"/>
        </w:rPr>
      </w:pPr>
      <w:r w:rsidDel="00000000" w:rsidR="00000000" w:rsidRPr="00000000">
        <w:rPr>
          <w:rFonts w:ascii="Times New Roman" w:cs="Times New Roman" w:eastAsia="Times New Roman" w:hAnsi="Times New Roman"/>
          <w:b w:val="1"/>
          <w:color w:val="000000"/>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Upon request, JCS, Inc</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shall provide noncustodial parents with announcements and notices that are sent to the custodial parent as well as access to records as long as there is no court order on file prohibiting such access.</w:t>
      </w:r>
    </w:p>
    <w:p w:rsidR="00000000" w:rsidDel="00000000" w:rsidP="00000000" w:rsidRDefault="00000000" w:rsidRPr="00000000" w14:paraId="00000004">
      <w:pPr>
        <w:pageBreakBefore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While both parents can visit the child at school, only the custodial parent has the right to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remove the child from school property. Only a verified note or an emergency card from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the custodial parent will be cause for an exception to this provision.</w:t>
      </w:r>
    </w:p>
    <w:p w:rsidR="00000000" w:rsidDel="00000000" w:rsidP="00000000" w:rsidRDefault="00000000" w:rsidRPr="00000000" w14:paraId="00000006">
      <w:pPr>
        <w:pageBreakBefore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Note:</w:t>
      </w:r>
      <w:r w:rsidDel="00000000" w:rsidR="00000000" w:rsidRPr="00000000">
        <w:rPr>
          <w:rFonts w:ascii="Times New Roman" w:cs="Times New Roman" w:eastAsia="Times New Roman" w:hAnsi="Times New Roman"/>
          <w:color w:val="000000"/>
          <w:sz w:val="22"/>
          <w:szCs w:val="22"/>
          <w:rtl w:val="0"/>
        </w:rPr>
        <w:t xml:space="preserve"> A child custody court order binds only the parties to the proceeding, not the district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or its staff. Therefore, the district is not required to enforce the court order. If a court order conflicts with Education Code statutes that give noncustodial parents the right to access student records, the district should seek legal counsel to determine whether the court order or the statutes should prevail. If a court order restricts access to the child, it is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recommended that staff contact the custodial parent and local law enforcement officials in the event of an attempted violation of the court order. If a court order restricting access to a child is not issued by a California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court, staff should allow local law enforcement officials to determine its validity.</w:t>
      </w:r>
    </w:p>
    <w:p w:rsidR="00000000" w:rsidDel="00000000" w:rsidP="00000000" w:rsidRDefault="00000000" w:rsidRPr="00000000" w14:paraId="00000008">
      <w:pPr>
        <w:pageBreakBefore w:val="0"/>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the event of an attempted violation of a court order that restricts access to a student,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staff shall contact the custodial parent and local law enforcement officials and shall make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the student available only after one or both of these parties consent.</w:t>
      </w:r>
    </w:p>
    <w:p w:rsidR="00000000" w:rsidDel="00000000" w:rsidP="00000000" w:rsidRDefault="00000000" w:rsidRPr="00000000" w14:paraId="0000000A">
      <w:pPr>
        <w:pageBreakBefore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03/06/09</w:t>
      </w:r>
    </w:p>
    <w:p w:rsidR="00000000" w:rsidDel="00000000" w:rsidP="00000000" w:rsidRDefault="00000000" w:rsidRPr="00000000" w14:paraId="0000001B">
      <w:pPr>
        <w:pageBreakBefore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Revised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5030.2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Rights of Noncustodial Parent Admin Regs</w:t>
      <w:tab/>
      <w:tab/>
      <w:t xml:space="preserve">  </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International Exchange</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D">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5030.2 Rights of Noncustodial Parent Administrative Regulations</w:t>
                </w:r>
              </w:p>
              <w:p w:rsidR="00000000" w:rsidDel="00000000" w:rsidP="00000000" w:rsidRDefault="00000000" w:rsidRPr="00000000" w14:paraId="00000020">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24">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5">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27">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