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highlight w:val="white"/>
          <w:rtl w:val="0"/>
        </w:rPr>
        <w:t xml:space="preserve">Through the Governing Board policy, the Board tries to anticipate critical policy issues that may affect school students and operations. However, the Board recognizes that questions may arise in the day-to-day operations of the schools that are not addressed in Board policy or procedures.</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resolution of such issues demands timely action, the Executive Director shall have the authority to act on behalf of the schools. If the matter involves a policy decision that is likely to be controversial or a matter that has a significant impact on student learning or safety, the Executive Director shall notify the Board President as soon as practicable after its occurrence. The Board President shall then inform the Board as appropriate.</w:t>
      </w:r>
    </w:p>
    <w:p w:rsidR="00000000" w:rsidDel="00000000" w:rsidP="00000000" w:rsidRDefault="00000000" w:rsidRPr="00000000" w14:paraId="00000006">
      <w:pPr>
        <w:pageBreakBefore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7">
      <w:pPr>
        <w:pageBreakBefore w:val="0"/>
        <w:ind w:left="0" w:righ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Board President may schedule a review of the action at the next regular board meeting. If the action indicates the need for additions or revisions in Board policies, the Executive Director or designee shall make the necessary recommendations to the Board.</w:t>
      </w:r>
      <w:r w:rsidDel="00000000" w:rsidR="00000000" w:rsidRPr="00000000">
        <w:rPr>
          <w:rtl w:val="0"/>
        </w:rPr>
      </w:r>
    </w:p>
    <w:p w:rsidR="00000000" w:rsidDel="00000000" w:rsidP="00000000" w:rsidRDefault="00000000" w:rsidRPr="00000000" w14:paraId="00000008">
      <w:pPr>
        <w:pageBreakBefore w:val="0"/>
        <w:ind w:left="20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pageBreakBefore w:val="0"/>
        <w:ind w:left="20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pageBreakBefore w:val="0"/>
        <w:ind w:right="18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pageBreakBefore w:val="0"/>
        <w:ind w:right="1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Original Policy 06/07/2019</w:t>
      </w:r>
    </w:p>
    <w:p w:rsidR="00000000" w:rsidDel="00000000" w:rsidP="00000000" w:rsidRDefault="00000000" w:rsidRPr="00000000" w14:paraId="0000001A">
      <w:pPr>
        <w:pageBreakBefore w:val="0"/>
        <w:ind w:right="180"/>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1B">
      <w:pPr>
        <w:pageBreakBefore w:val="0"/>
        <w:ind w:right="180"/>
        <w:rPr>
          <w:rFonts w:ascii="Times New Roman" w:cs="Times New Roman" w:eastAsia="Times New Roman" w:hAnsi="Times New Roman"/>
          <w:b w:val="1"/>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3001.1 JCS, Inc. Administration Leeway in Absence of Board Policy</w:t>
      <w:tab/>
      <w:tab/>
      <w:tab/>
      <w:tab/>
      <w:tab/>
      <w:t xml:space="preserve">Page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Fonts w:ascii="Calibri" w:cs="Calibri" w:eastAsia="Calibri" w:hAnsi="Calibri"/>
        <w:sz w:val="24"/>
        <w:szCs w:val="24"/>
        <w:rtl w:val="0"/>
      </w:rPr>
      <w:t xml:space="preserve"> of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spacing w:line="240" w:lineRule="auto"/>
      <w:rPr>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b w:val="1"/>
            </w:rPr>
          </w:pPr>
          <w:r w:rsidDel="00000000" w:rsidR="00000000" w:rsidRPr="00000000">
            <w:rPr>
              <w:b w:val="1"/>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1"/>
              <w:color w:val="073763"/>
              <w:sz w:val="36"/>
              <w:szCs w:val="36"/>
            </w:rPr>
          </w:pPr>
          <w:r w:rsidDel="00000000" w:rsidR="00000000" w:rsidRPr="00000000">
            <w:rPr>
              <w:rtl w:val="0"/>
            </w:rPr>
          </w:r>
        </w:p>
        <w:tbl>
          <w:tblPr>
            <w:tblStyle w:val="Table2"/>
            <w:tblW w:w="89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440"/>
            <w:tblGridChange w:id="0">
              <w:tblGrid>
                <w:gridCol w:w="4470"/>
                <w:gridCol w:w="4440"/>
              </w:tblGrid>
            </w:tblGridChange>
          </w:tblGrid>
          <w:tr>
            <w:trPr>
              <w:cantSplit w:val="0"/>
              <w:trHeight w:val="1080" w:hRule="atLeast"/>
              <w:tblHeader w:val="0"/>
            </w:trPr>
            <w:tc>
              <w:tcPr>
                <w:gridSpan w:val="2"/>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3001.1 Administrative Leeway in Absence of Board Policy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73763"/>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7, 2019                    Approved by: Board of Directors</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1"/>
              <w:color w:val="073763"/>
              <w:sz w:val="36"/>
              <w:szCs w:val="36"/>
            </w:rPr>
          </w:pPr>
          <w:r w:rsidDel="00000000" w:rsidR="00000000" w:rsidRPr="00000000">
            <w:rPr>
              <w:rtl w:val="0"/>
            </w:rPr>
          </w:r>
        </w:p>
      </w:tc>
    </w:tr>
  </w:tbl>
  <w:p w:rsidR="00000000" w:rsidDel="00000000" w:rsidP="00000000" w:rsidRDefault="00000000" w:rsidRPr="00000000" w14:paraId="00000025">
    <w:pPr>
      <w:pageBreakBefore w:val="0"/>
      <w:spacing w:line="240" w:lineRule="auto"/>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