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Procedure: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position title must identify the duties and responsibilities of the position (the general purpose of the position) and the overall scope of accountability (level within the organization).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Whenever possible, the position title, which is assigned must be reflective of similar position titles typically used in the marketplace (e.g. accountant, custodian, driver).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titles that are assigned must be applied consistently within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JCS, Inc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titles may not be assigned until a Job Description has been written and approved by Human Resources.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titles of exempt positions must whenever possible, be reflective of typical position titles assigned to administrative, executive, professional, or data processing positions within the white-collar classifications.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change in position title must be reviewed by Human Resources, and approved by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Governing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Board.  Human Resources shall be responsible for the auditing and maintenance of all position titles.</w:t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Original P</w:t>
      </w:r>
      <w:r w:rsidDel="00000000" w:rsidR="00000000" w:rsidRPr="00000000">
        <w:rPr>
          <w:rtl w:val="0"/>
        </w:rPr>
        <w:t xml:space="preserve">rocedure: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02/27/01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</w:t>
      </w:r>
      <w:r w:rsidDel="00000000" w:rsidR="00000000" w:rsidRPr="00000000">
        <w:rPr>
          <w:rtl w:val="0"/>
        </w:rPr>
        <w:t xml:space="preserve">Procedure: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03/07/08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</w:t>
      </w:r>
      <w:r w:rsidDel="00000000" w:rsidR="00000000" w:rsidRPr="00000000">
        <w:rPr>
          <w:rtl w:val="0"/>
        </w:rPr>
        <w:t xml:space="preserve">Procedure: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09/08/17</w:t>
      </w:r>
    </w:p>
    <w:p w:rsidR="00000000" w:rsidDel="00000000" w:rsidP="00000000" w:rsidRDefault="00000000" w:rsidRPr="00000000" w14:paraId="0000001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Revised </w:t>
      </w:r>
      <w:r w:rsidDel="00000000" w:rsidR="00000000" w:rsidRPr="00000000">
        <w:rPr>
          <w:rtl w:val="0"/>
        </w:rPr>
        <w:t xml:space="preserve">Procedure:</w:t>
      </w:r>
      <w:r w:rsidDel="00000000" w:rsidR="00000000" w:rsidRPr="00000000">
        <w:rPr>
          <w:color w:val="000000"/>
          <w:rtl w:val="0"/>
        </w:rPr>
        <w:t xml:space="preserve"> 06/12/2020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Disciplinary Process  </w:t>
      <w:tab/>
      <w:t xml:space="preserve"> </w:t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3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680"/>
      </w:tabs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8019.2 JCS, Inc. Position Titles Admin Regs</w:t>
      <w:tab/>
      <w:tab/>
      <w:tab/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of 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Disciplinary Process</w:t>
      <w:tab/>
      <w:t xml:space="preserve">  </w:t>
      <w:tab/>
      <w:t xml:space="preserve"> 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3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35"/>
      <w:gridCol w:w="8565"/>
      <w:tblGridChange w:id="0">
        <w:tblGrid>
          <w:gridCol w:w="2235"/>
          <w:gridCol w:w="8565"/>
        </w:tblGrid>
      </w:tblGridChange>
    </w:tblGrid>
    <w:tr>
      <w:trPr>
        <w:cantSplit w:val="0"/>
        <w:trHeight w:val="159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bottom"/>
        </w:tcPr>
        <w:p w:rsidR="00000000" w:rsidDel="00000000" w:rsidP="00000000" w:rsidRDefault="00000000" w:rsidRPr="00000000" w14:paraId="00000016">
          <w:pPr>
            <w:rPr>
              <w:rFonts w:ascii="Calibri" w:cs="Calibri" w:eastAsia="Calibri" w:hAnsi="Calibri"/>
              <w:b w:val="1"/>
              <w:color w:val="1e4d78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12700" l="12700" r="12700" t="127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 w="12700">
                          <a:solidFill>
                            <a:srgbClr val="CC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ffffff" w:space="0" w:sz="8" w:val="single"/>
            <w:left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</w:tcPr>
        <w:p w:rsidR="00000000" w:rsidDel="00000000" w:rsidP="00000000" w:rsidRDefault="00000000" w:rsidRPr="00000000" w14:paraId="00000017">
          <w:pPr>
            <w:widowControl w:val="0"/>
            <w:rPr>
              <w:rFonts w:ascii="Calibri" w:cs="Calibri" w:eastAsia="Calibri" w:hAnsi="Calibri"/>
              <w:b w:val="1"/>
              <w:color w:val="434343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403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01.5"/>
            <w:gridCol w:w="4201.5"/>
            <w:tblGridChange w:id="0">
              <w:tblGrid>
                <w:gridCol w:w="4201.5"/>
                <w:gridCol w:w="4201.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b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1e4d78"/>
                    <w:sz w:val="28"/>
                    <w:szCs w:val="28"/>
                    <w:rtl w:val="0"/>
                  </w:rPr>
                  <w:t xml:space="preserve">8019.2 Position Titles Administrative Regulations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rPr>
                    <w:b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b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1e4d78"/>
                    <w:sz w:val="28"/>
                    <w:szCs w:val="28"/>
                    <w:rtl w:val="0"/>
                  </w:rPr>
                  <w:t xml:space="preserve">Effective Date: June 12, 2020</w:t>
                </w:r>
              </w:p>
            </w:tc>
          </w:tr>
        </w:tbl>
        <w:p w:rsidR="00000000" w:rsidDel="00000000" w:rsidP="00000000" w:rsidRDefault="00000000" w:rsidRPr="00000000" w14:paraId="0000001D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1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1E">
          <w:pPr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e4d78"/>
              <w:sz w:val="22"/>
              <w:szCs w:val="22"/>
              <w:rtl w:val="0"/>
            </w:rPr>
            <w:t xml:space="preserve">JCS-Inc. Administrative Regulations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</w:tcPr>
        <w:p w:rsidR="00000000" w:rsidDel="00000000" w:rsidP="00000000" w:rsidRDefault="00000000" w:rsidRPr="00000000" w14:paraId="0000001F">
          <w:pPr>
            <w:widowControl w:val="0"/>
            <w:rPr>
              <w:rFonts w:ascii="Calibri" w:cs="Calibri" w:eastAsia="Calibri" w:hAnsi="Calibri"/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tabs>
        <w:tab w:val="center" w:leader="none" w:pos="4680"/>
        <w:tab w:val="right" w:leader="none" w:pos="9360"/>
      </w:tabs>
      <w:rPr>
        <w:rFonts w:ascii="Calibri" w:cs="Calibri" w:eastAsia="Calibri" w:hAnsi="Calibri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/>
    <w:rPr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