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To enable the efficient recruiting and selection of qualified and suitable candidates for open positions, the Human Resources department shall partner with hiring managers to develop an effective recruiting plan for each position.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Original Policy 12/09/02</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Revised Policy 06/08/07</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09/08/17</w:t>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06/12/2020</w:t>
      </w:r>
    </w:p>
    <w:p w:rsidR="00000000" w:rsidDel="00000000" w:rsidP="00000000" w:rsidRDefault="00000000" w:rsidRPr="00000000" w14:paraId="0000001B">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8013.1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Hiring Process Policy</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Hiring Process </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1">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3">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8013.1 Hiring Process Policy</w:t>
                </w:r>
              </w:p>
              <w:p w:rsidR="00000000" w:rsidDel="00000000" w:rsidP="00000000" w:rsidRDefault="00000000" w:rsidRPr="00000000" w14:paraId="00000025">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12,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9">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