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keepNext w:val="0"/>
        <w:keepLines w:val="0"/>
        <w:widowControl w:val="0"/>
        <w:spacing w:after="0" w:before="42" w:line="240" w:lineRule="auto"/>
        <w:ind w:left="2684" w:right="2646"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bookmarkStart w:colFirst="0" w:colLast="0" w:name="_im48rgtrtnq8" w:id="0"/>
      <w:bookmarkEnd w:id="0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Charter School Complaint Notice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278" w:line="240" w:lineRule="auto"/>
        <w:ind w:left="108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California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rtl w:val="0"/>
        </w:rPr>
        <w:t xml:space="preserve">Education Code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Requirements</w:t>
      </w:r>
    </w:p>
    <w:p w:rsidR="00000000" w:rsidDel="00000000" w:rsidP="00000000" w:rsidRDefault="00000000" w:rsidRPr="00000000" w14:paraId="00000004">
      <w:pPr>
        <w:widowControl w:val="0"/>
        <w:spacing w:before="9" w:line="240" w:lineRule="auto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9" w:lineRule="auto"/>
        <w:ind w:left="108" w:right="1761" w:hanging="0.999999999999996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California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Education Code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EC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 Section 47605(d)(4) (</w:t>
      </w:r>
      <w:hyperlink r:id="rId6">
        <w:r w:rsidDel="00000000" w:rsidR="00000000" w:rsidRPr="00000000">
          <w:rPr>
            <w:rFonts w:ascii="Calibri" w:cs="Calibri" w:eastAsia="Calibri" w:hAnsi="Calibri"/>
            <w:color w:val="0000ff"/>
            <w:sz w:val="24"/>
            <w:szCs w:val="24"/>
            <w:u w:val="single"/>
            <w:rtl w:val="0"/>
          </w:rPr>
          <w:t xml:space="preserve">https://leginfo.legislature.ca.gov/faces/</w:t>
        </w:r>
      </w:hyperlink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 </w:t>
      </w:r>
      <w:hyperlink r:id="rId7">
        <w:r w:rsidDel="00000000" w:rsidR="00000000" w:rsidRPr="00000000">
          <w:rPr>
            <w:rFonts w:ascii="Calibri" w:cs="Calibri" w:eastAsia="Calibri" w:hAnsi="Calibri"/>
            <w:color w:val="0000ff"/>
            <w:sz w:val="24"/>
            <w:szCs w:val="24"/>
            <w:u w:val="single"/>
            <w:rtl w:val="0"/>
          </w:rPr>
          <w:t xml:space="preserve">codes_displaySection.xhtml?sectionNum=47605&amp;lawCode=EDC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 states the following:</w:t>
      </w:r>
    </w:p>
    <w:p w:rsidR="00000000" w:rsidDel="00000000" w:rsidP="00000000" w:rsidRDefault="00000000" w:rsidRPr="00000000" w14:paraId="00000006">
      <w:pPr>
        <w:widowControl w:val="0"/>
        <w:spacing w:before="3" w:line="240" w:lineRule="auto"/>
        <w:rPr>
          <w:rFonts w:ascii="Calibri" w:cs="Calibri" w:eastAsia="Calibri" w:hAnsi="Calibri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tabs>
          <w:tab w:val="left" w:leader="none" w:pos="829"/>
        </w:tabs>
        <w:spacing w:line="249" w:lineRule="auto"/>
        <w:ind w:left="828" w:right="112" w:hanging="265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charter school shall not discourage a pupil from enrolling or seeking to enroll in a charter school for any reason, including, but not limited to, academic performance of the pupil or because the pupil exhibits any of the following characteristics:</w:t>
      </w:r>
    </w:p>
    <w:p w:rsidR="00000000" w:rsidDel="00000000" w:rsidP="00000000" w:rsidRDefault="00000000" w:rsidRPr="00000000" w14:paraId="00000008">
      <w:pPr>
        <w:widowControl w:val="0"/>
        <w:spacing w:before="3" w:line="240" w:lineRule="auto"/>
        <w:rPr>
          <w:rFonts w:ascii="Calibri" w:cs="Calibri" w:eastAsia="Calibri" w:hAnsi="Calibri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1"/>
          <w:numId w:val="1"/>
        </w:numPr>
        <w:tabs>
          <w:tab w:val="left" w:leader="none" w:pos="1549"/>
        </w:tabs>
        <w:spacing w:line="240" w:lineRule="auto"/>
        <w:ind w:left="1548" w:hanging="265.99999999999994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Academically low-achieving</w:t>
      </w:r>
    </w:p>
    <w:p w:rsidR="00000000" w:rsidDel="00000000" w:rsidP="00000000" w:rsidRDefault="00000000" w:rsidRPr="00000000" w14:paraId="0000000A">
      <w:pPr>
        <w:widowControl w:val="0"/>
        <w:numPr>
          <w:ilvl w:val="1"/>
          <w:numId w:val="1"/>
        </w:numPr>
        <w:tabs>
          <w:tab w:val="left" w:leader="none" w:pos="1549"/>
        </w:tabs>
        <w:spacing w:before="12" w:line="249" w:lineRule="auto"/>
        <w:ind w:left="1548" w:right="739" w:hanging="265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Economically disadvantaged (determined by eligibility for any free or reduced price meal program)</w:t>
      </w:r>
    </w:p>
    <w:p w:rsidR="00000000" w:rsidDel="00000000" w:rsidP="00000000" w:rsidRDefault="00000000" w:rsidRPr="00000000" w14:paraId="0000000B">
      <w:pPr>
        <w:widowControl w:val="0"/>
        <w:numPr>
          <w:ilvl w:val="1"/>
          <w:numId w:val="1"/>
        </w:numPr>
        <w:tabs>
          <w:tab w:val="left" w:leader="none" w:pos="1549"/>
        </w:tabs>
        <w:spacing w:before="2" w:line="240" w:lineRule="auto"/>
        <w:ind w:left="1548" w:hanging="265.99999999999994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English learner</w:t>
      </w:r>
    </w:p>
    <w:p w:rsidR="00000000" w:rsidDel="00000000" w:rsidP="00000000" w:rsidRDefault="00000000" w:rsidRPr="00000000" w14:paraId="0000000C">
      <w:pPr>
        <w:widowControl w:val="0"/>
        <w:numPr>
          <w:ilvl w:val="1"/>
          <w:numId w:val="1"/>
        </w:numPr>
        <w:tabs>
          <w:tab w:val="left" w:leader="none" w:pos="1549"/>
        </w:tabs>
        <w:spacing w:before="12" w:line="240" w:lineRule="auto"/>
        <w:ind w:left="1548" w:hanging="265.99999999999994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Ethnicity</w:t>
      </w:r>
    </w:p>
    <w:p w:rsidR="00000000" w:rsidDel="00000000" w:rsidP="00000000" w:rsidRDefault="00000000" w:rsidRPr="00000000" w14:paraId="0000000D">
      <w:pPr>
        <w:widowControl w:val="0"/>
        <w:numPr>
          <w:ilvl w:val="1"/>
          <w:numId w:val="1"/>
        </w:numPr>
        <w:tabs>
          <w:tab w:val="left" w:leader="none" w:pos="1549"/>
        </w:tabs>
        <w:spacing w:before="12" w:line="240" w:lineRule="auto"/>
        <w:ind w:left="1548" w:hanging="265.99999999999994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Foster youth</w:t>
      </w:r>
    </w:p>
    <w:p w:rsidR="00000000" w:rsidDel="00000000" w:rsidP="00000000" w:rsidRDefault="00000000" w:rsidRPr="00000000" w14:paraId="0000000E">
      <w:pPr>
        <w:widowControl w:val="0"/>
        <w:numPr>
          <w:ilvl w:val="1"/>
          <w:numId w:val="1"/>
        </w:numPr>
        <w:tabs>
          <w:tab w:val="left" w:leader="none" w:pos="1549"/>
        </w:tabs>
        <w:spacing w:before="12" w:line="240" w:lineRule="auto"/>
        <w:ind w:left="1548" w:hanging="265.99999999999994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Homeless</w:t>
      </w:r>
    </w:p>
    <w:p w:rsidR="00000000" w:rsidDel="00000000" w:rsidP="00000000" w:rsidRDefault="00000000" w:rsidRPr="00000000" w14:paraId="0000000F">
      <w:pPr>
        <w:widowControl w:val="0"/>
        <w:numPr>
          <w:ilvl w:val="1"/>
          <w:numId w:val="1"/>
        </w:numPr>
        <w:tabs>
          <w:tab w:val="left" w:leader="none" w:pos="1549"/>
        </w:tabs>
        <w:spacing w:before="12" w:line="240" w:lineRule="auto"/>
        <w:ind w:left="1548" w:hanging="265.99999999999994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Nationality</w:t>
      </w:r>
    </w:p>
    <w:p w:rsidR="00000000" w:rsidDel="00000000" w:rsidP="00000000" w:rsidRDefault="00000000" w:rsidRPr="00000000" w14:paraId="00000010">
      <w:pPr>
        <w:widowControl w:val="0"/>
        <w:numPr>
          <w:ilvl w:val="1"/>
          <w:numId w:val="1"/>
        </w:numPr>
        <w:tabs>
          <w:tab w:val="left" w:leader="none" w:pos="1549"/>
        </w:tabs>
        <w:spacing w:before="12" w:line="240" w:lineRule="auto"/>
        <w:ind w:left="1548" w:hanging="265.99999999999994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Neglected or delinquent</w:t>
      </w:r>
    </w:p>
    <w:p w:rsidR="00000000" w:rsidDel="00000000" w:rsidP="00000000" w:rsidRDefault="00000000" w:rsidRPr="00000000" w14:paraId="00000011">
      <w:pPr>
        <w:widowControl w:val="0"/>
        <w:numPr>
          <w:ilvl w:val="1"/>
          <w:numId w:val="1"/>
        </w:numPr>
        <w:tabs>
          <w:tab w:val="left" w:leader="none" w:pos="1549"/>
        </w:tabs>
        <w:spacing w:before="12" w:line="240" w:lineRule="auto"/>
        <w:ind w:left="1548" w:hanging="265.99999999999994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Race</w:t>
      </w:r>
    </w:p>
    <w:p w:rsidR="00000000" w:rsidDel="00000000" w:rsidP="00000000" w:rsidRDefault="00000000" w:rsidRPr="00000000" w14:paraId="00000012">
      <w:pPr>
        <w:widowControl w:val="0"/>
        <w:numPr>
          <w:ilvl w:val="1"/>
          <w:numId w:val="1"/>
        </w:numPr>
        <w:tabs>
          <w:tab w:val="left" w:leader="none" w:pos="1549"/>
        </w:tabs>
        <w:spacing w:before="12" w:line="240" w:lineRule="auto"/>
        <w:ind w:left="1548" w:hanging="265.99999999999994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Sexual orientation</w:t>
      </w:r>
    </w:p>
    <w:p w:rsidR="00000000" w:rsidDel="00000000" w:rsidP="00000000" w:rsidRDefault="00000000" w:rsidRPr="00000000" w14:paraId="00000013">
      <w:pPr>
        <w:widowControl w:val="0"/>
        <w:numPr>
          <w:ilvl w:val="1"/>
          <w:numId w:val="1"/>
        </w:numPr>
        <w:tabs>
          <w:tab w:val="left" w:leader="none" w:pos="1549"/>
        </w:tabs>
        <w:spacing w:before="12" w:line="240" w:lineRule="auto"/>
        <w:ind w:left="1548" w:hanging="265.99999999999994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Pupils with disabilities</w:t>
      </w:r>
    </w:p>
    <w:p w:rsidR="00000000" w:rsidDel="00000000" w:rsidP="00000000" w:rsidRDefault="00000000" w:rsidRPr="00000000" w14:paraId="00000014">
      <w:pPr>
        <w:widowControl w:val="0"/>
        <w:spacing w:before="1" w:line="24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tabs>
          <w:tab w:val="left" w:leader="none" w:pos="829"/>
        </w:tabs>
        <w:spacing w:line="249" w:lineRule="auto"/>
        <w:ind w:left="828" w:right="173" w:hanging="265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charter school shall not request a pupil's records or require the parent, guardian, or pupil to submit the pupil's records to the charter school before enrollment.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"/>
        </w:numPr>
        <w:tabs>
          <w:tab w:val="left" w:leader="none" w:pos="829"/>
        </w:tabs>
        <w:spacing w:before="162" w:line="249" w:lineRule="auto"/>
        <w:ind w:left="828" w:right="243" w:hanging="265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charter school shall not encourage a pupil currently attending the charter school to disenroll from the charter school or transfer to another school for any reason (except for suspension or expulsion).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tabs>
          <w:tab w:val="left" w:leader="none" w:pos="829"/>
        </w:tabs>
        <w:spacing w:before="163" w:line="249" w:lineRule="auto"/>
        <w:ind w:left="828" w:right="439" w:hanging="265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This notice shall be posted on a charter school's Internet website and a charter school will provide copies of this notice (1) when a parent, guardian, or pupil inquires about enrollment; (2) before conducting an enrollment lottery, and (3) before disenrollment of a pupil.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first"/>
      <w:pgSz w:h="15840" w:w="12240" w:orient="portrait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widowControl w:val="0"/>
      <w:spacing w:before="2" w:line="240" w:lineRule="auto"/>
      <w:ind w:left="108" w:firstLine="0"/>
      <w:jc w:val="center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6261847" cy="133064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61847" cy="133064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828" w:hanging="265"/>
      </w:pPr>
      <w:rPr>
        <w:rFonts w:ascii="Arial" w:cs="Arial" w:eastAsia="Arial" w:hAnsi="Arial"/>
        <w:sz w:val="24"/>
        <w:szCs w:val="24"/>
      </w:rPr>
    </w:lvl>
    <w:lvl w:ilvl="1">
      <w:start w:val="1"/>
      <w:numFmt w:val="bullet"/>
      <w:lvlText w:val="○"/>
      <w:lvlJc w:val="left"/>
      <w:pPr>
        <w:ind w:left="1548" w:hanging="265"/>
      </w:pPr>
      <w:rPr>
        <w:rFonts w:ascii="Arial" w:cs="Arial" w:eastAsia="Arial" w:hAnsi="Arial"/>
        <w:sz w:val="24"/>
        <w:szCs w:val="24"/>
      </w:rPr>
    </w:lvl>
    <w:lvl w:ilvl="2">
      <w:start w:val="1"/>
      <w:numFmt w:val="bullet"/>
      <w:lvlText w:val="■"/>
      <w:lvlJc w:val="left"/>
      <w:pPr>
        <w:ind w:left="2662" w:hanging="265"/>
      </w:pPr>
      <w:rPr/>
    </w:lvl>
    <w:lvl w:ilvl="3">
      <w:start w:val="1"/>
      <w:numFmt w:val="bullet"/>
      <w:lvlText w:val="●"/>
      <w:lvlJc w:val="left"/>
      <w:pPr>
        <w:ind w:left="3784" w:hanging="265"/>
      </w:pPr>
      <w:rPr/>
    </w:lvl>
    <w:lvl w:ilvl="4">
      <w:start w:val="1"/>
      <w:numFmt w:val="bullet"/>
      <w:lvlText w:val="○"/>
      <w:lvlJc w:val="left"/>
      <w:pPr>
        <w:ind w:left="4906" w:hanging="265"/>
      </w:pPr>
      <w:rPr/>
    </w:lvl>
    <w:lvl w:ilvl="5">
      <w:start w:val="1"/>
      <w:numFmt w:val="bullet"/>
      <w:lvlText w:val="■"/>
      <w:lvlJc w:val="left"/>
      <w:pPr>
        <w:ind w:left="6028" w:hanging="265"/>
      </w:pPr>
      <w:rPr/>
    </w:lvl>
    <w:lvl w:ilvl="6">
      <w:start w:val="1"/>
      <w:numFmt w:val="bullet"/>
      <w:lvlText w:val="●"/>
      <w:lvlJc w:val="left"/>
      <w:pPr>
        <w:ind w:left="7151" w:hanging="265"/>
      </w:pPr>
      <w:rPr/>
    </w:lvl>
    <w:lvl w:ilvl="7">
      <w:start w:val="1"/>
      <w:numFmt w:val="bullet"/>
      <w:lvlText w:val="○"/>
      <w:lvlJc w:val="left"/>
      <w:pPr>
        <w:ind w:left="8273" w:hanging="265"/>
      </w:pPr>
      <w:rPr/>
    </w:lvl>
    <w:lvl w:ilvl="8">
      <w:start w:val="1"/>
      <w:numFmt w:val="bullet"/>
      <w:lvlText w:val="■"/>
      <w:lvlJc w:val="left"/>
      <w:pPr>
        <w:ind w:left="9395" w:hanging="265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https://leginfo.legislature.ca.gov/faces/codes_displaySection.xhtml?sectionNum=47605&amp;lawCode=EDC" TargetMode="External"/><Relationship Id="rId7" Type="http://schemas.openxmlformats.org/officeDocument/2006/relationships/hyperlink" Target="https://leginfo.legislature.ca.gov/faces/codes_displaySection.xhtml?sectionNum=47605&amp;lawCode=EDC" TargetMode="Externa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