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390"/>
        <w:gridCol w:w="510"/>
        <w:gridCol w:w="1845"/>
        <w:gridCol w:w="2775"/>
        <w:tblGridChange w:id="0">
          <w:tblGrid>
            <w:gridCol w:w="2280"/>
            <w:gridCol w:w="3390"/>
            <w:gridCol w:w="510"/>
            <w:gridCol w:w="1845"/>
            <w:gridCol w:w="27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2">
            <w:pPr>
              <w:widowControl w:val="0"/>
              <w:rPr>
                <w:sz w:val="22"/>
                <w:szCs w:val="22"/>
              </w:rPr>
            </w:pPr>
            <w:r w:rsidDel="00000000" w:rsidR="00000000" w:rsidRPr="00000000">
              <w:rPr>
                <w:sz w:val="22"/>
                <w:szCs w:val="22"/>
                <w:rtl w:val="0"/>
              </w:rPr>
              <w:t xml:space="preserve">Student Name: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3">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4">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5">
            <w:pPr>
              <w:widowControl w:val="0"/>
              <w:rPr>
                <w:sz w:val="22"/>
                <w:szCs w:val="22"/>
              </w:rPr>
            </w:pPr>
            <w:r w:rsidDel="00000000" w:rsidR="00000000" w:rsidRPr="00000000">
              <w:rPr>
                <w:sz w:val="22"/>
                <w:szCs w:val="22"/>
                <w:rtl w:val="0"/>
              </w:rPr>
              <w:t xml:space="preserve">Student Number:</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6">
            <w:pPr>
              <w:widowControl w:val="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7">
            <w:pPr>
              <w:widowControl w:val="0"/>
              <w:rPr>
                <w:sz w:val="22"/>
                <w:szCs w:val="22"/>
              </w:rPr>
            </w:pPr>
            <w:r w:rsidDel="00000000" w:rsidR="00000000" w:rsidRPr="00000000">
              <w:rPr>
                <w:sz w:val="22"/>
                <w:szCs w:val="22"/>
                <w:rtl w:val="0"/>
              </w:rPr>
              <w:t xml:space="preserve">Teacher Name:</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8">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9">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A">
            <w:pPr>
              <w:widowControl w:val="0"/>
              <w:rPr>
                <w:sz w:val="22"/>
                <w:szCs w:val="22"/>
              </w:rPr>
            </w:pPr>
            <w:r w:rsidDel="00000000" w:rsidR="00000000" w:rsidRPr="00000000">
              <w:rPr>
                <w:sz w:val="22"/>
                <w:szCs w:val="22"/>
                <w:rtl w:val="0"/>
              </w:rPr>
              <w:t xml:space="preserve">Teacher Number:</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B">
            <w:pPr>
              <w:widowControl w:val="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C">
            <w:pPr>
              <w:widowControl w:val="0"/>
              <w:rPr>
                <w:sz w:val="22"/>
                <w:szCs w:val="22"/>
              </w:rPr>
            </w:pPr>
            <w:r w:rsidDel="00000000" w:rsidR="00000000" w:rsidRPr="00000000">
              <w:rPr>
                <w:sz w:val="22"/>
                <w:szCs w:val="22"/>
                <w:rtl w:val="0"/>
              </w:rPr>
              <w:t xml:space="preserve">Current Grade:</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D">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E">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F">
            <w:pPr>
              <w:widowControl w:val="0"/>
              <w:rPr>
                <w:sz w:val="22"/>
                <w:szCs w:val="22"/>
              </w:rPr>
            </w:pPr>
            <w:r w:rsidDel="00000000" w:rsidR="00000000" w:rsidRPr="00000000">
              <w:rPr>
                <w:sz w:val="22"/>
                <w:szCs w:val="22"/>
                <w:rtl w:val="0"/>
              </w:rPr>
              <w:t xml:space="preserve">Suggested Grade:</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0">
            <w:pPr>
              <w:widowControl w:val="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1">
            <w:pPr>
              <w:widowControl w:val="0"/>
              <w:rPr>
                <w:sz w:val="22"/>
                <w:szCs w:val="22"/>
              </w:rPr>
            </w:pPr>
            <w:r w:rsidDel="00000000" w:rsidR="00000000" w:rsidRPr="00000000">
              <w:rPr>
                <w:sz w:val="22"/>
                <w:szCs w:val="22"/>
                <w:rtl w:val="0"/>
              </w:rPr>
              <w:t xml:space="preserve">Birth Date:</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2">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3">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4">
            <w:pPr>
              <w:widowControl w:val="0"/>
              <w:rPr>
                <w:sz w:val="22"/>
                <w:szCs w:val="22"/>
              </w:rPr>
            </w:pPr>
            <w:r w:rsidDel="00000000" w:rsidR="00000000" w:rsidRPr="00000000">
              <w:rPr>
                <w:sz w:val="22"/>
                <w:szCs w:val="22"/>
                <w:rtl w:val="0"/>
              </w:rPr>
              <w:t xml:space="preserve">Entry Date:</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5">
            <w:pPr>
              <w:widowControl w:val="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6">
            <w:pPr>
              <w:widowControl w:val="0"/>
              <w:rPr>
                <w:sz w:val="22"/>
                <w:szCs w:val="22"/>
              </w:rPr>
            </w:pPr>
            <w:r w:rsidDel="00000000" w:rsidR="00000000" w:rsidRPr="00000000">
              <w:rPr>
                <w:sz w:val="22"/>
                <w:szCs w:val="22"/>
                <w:rtl w:val="0"/>
              </w:rPr>
              <w:t xml:space="preserve">Concern Report: (Y/N)</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7">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8">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9">
            <w:pPr>
              <w:widowControl w:val="0"/>
              <w:rPr>
                <w:sz w:val="22"/>
                <w:szCs w:val="22"/>
              </w:rPr>
            </w:pPr>
            <w:r w:rsidDel="00000000" w:rsidR="00000000" w:rsidRPr="00000000">
              <w:rPr>
                <w:sz w:val="22"/>
                <w:szCs w:val="22"/>
                <w:rtl w:val="0"/>
              </w:rPr>
              <w:t xml:space="preserve">MAP Reading:</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A">
            <w:pPr>
              <w:widowControl w:val="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B">
            <w:pPr>
              <w:widowControl w:val="0"/>
              <w:rPr>
                <w:sz w:val="22"/>
                <w:szCs w:val="22"/>
              </w:rPr>
            </w:pPr>
            <w:r w:rsidDel="00000000" w:rsidR="00000000" w:rsidRPr="00000000">
              <w:rPr>
                <w:sz w:val="22"/>
                <w:szCs w:val="22"/>
                <w:rtl w:val="0"/>
              </w:rPr>
              <w:t xml:space="preserve">Other Scores:</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C">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D">
            <w:pPr>
              <w:widowControl w:val="0"/>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E">
            <w:pPr>
              <w:widowControl w:val="0"/>
              <w:rPr>
                <w:sz w:val="22"/>
                <w:szCs w:val="22"/>
              </w:rPr>
            </w:pPr>
            <w:r w:rsidDel="00000000" w:rsidR="00000000" w:rsidRPr="00000000">
              <w:rPr>
                <w:sz w:val="22"/>
                <w:szCs w:val="22"/>
                <w:rtl w:val="0"/>
              </w:rPr>
              <w:t xml:space="preserve">MAP Math:</w:t>
            </w:r>
          </w:p>
        </w:tc>
        <w:tc>
          <w:tcPr>
            <w:tcBorders>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F">
            <w:pPr>
              <w:widowControl w:val="0"/>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8595"/>
        <w:tblGridChange w:id="0">
          <w:tblGrid>
            <w:gridCol w:w="2205"/>
            <w:gridCol w:w="8595"/>
          </w:tblGrid>
        </w:tblGridChange>
      </w:tblGrid>
      <w:tr>
        <w:trPr>
          <w:cantSplit w:val="0"/>
          <w:trHeight w:val="420" w:hRule="atLeast"/>
          <w:tblHeader w:val="0"/>
        </w:trPr>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Reason(s) for change: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r>
          </w:p>
        </w:tc>
      </w:tr>
      <w:tr>
        <w:trPr>
          <w:cantSplit w:val="0"/>
          <w:trHeight w:val="440" w:hRule="atLeast"/>
          <w:tblHeader w:val="0"/>
        </w:trPr>
        <w:tc>
          <w:tcPr>
            <w:vMerge w:val="continue"/>
            <w:tcBorders>
              <w:left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4">
            <w:pPr>
              <w:widowControl w:val="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pPr>
            <w:r w:rsidDel="00000000" w:rsidR="00000000" w:rsidRPr="00000000">
              <w:rPr>
                <w:rtl w:val="0"/>
              </w:rPr>
            </w:r>
          </w:p>
        </w:tc>
      </w:tr>
      <w:tr>
        <w:trPr>
          <w:cantSplit w:val="0"/>
          <w:trHeight w:val="440" w:hRule="atLeast"/>
          <w:tblHeader w:val="0"/>
        </w:trPr>
        <w:tc>
          <w:tcPr>
            <w:vMerge w:val="continue"/>
            <w:tcBorders>
              <w:left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widowControl w:val="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r>
          </w:p>
        </w:tc>
      </w:tr>
      <w:tr>
        <w:trPr>
          <w:cantSplit w:val="0"/>
          <w:trHeight w:val="440" w:hRule="atLeast"/>
          <w:tblHeader w:val="0"/>
        </w:trPr>
        <w:tc>
          <w:tcPr>
            <w:vMerge w:val="continue"/>
            <w:tcBorders>
              <w:left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8">
            <w:pPr>
              <w:widowControl w:val="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r>
          </w:p>
        </w:tc>
      </w:tr>
      <w:tr>
        <w:trPr>
          <w:cantSplit w:val="0"/>
          <w:trHeight w:val="440" w:hRule="atLeast"/>
          <w:tblHeader w:val="0"/>
        </w:trPr>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A">
            <w:pPr>
              <w:widowControl w:val="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r>
          </w:p>
        </w:tc>
      </w:tr>
      <w:tr>
        <w:trPr>
          <w:cantSplit w:val="0"/>
          <w:trHeight w:val="440" w:hRule="atLeast"/>
          <w:tblHeader w:val="0"/>
        </w:trPr>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C">
            <w:pPr>
              <w:widowControl w:val="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r>
          </w:p>
        </w:tc>
      </w:tr>
      <w:tr>
        <w:trPr>
          <w:cantSplit w:val="0"/>
          <w:trHeight w:val="440" w:hRule="atLeast"/>
          <w:tblHeader w:val="0"/>
        </w:trPr>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E">
            <w:pPr>
              <w:widowControl w:val="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Parent or Guardian: ___________________________ </w:t>
        <w:tab/>
        <w:t xml:space="preserve">Date: 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Teacher/Coordinator: _________________________ </w:t>
        <w:tab/>
        <w:tab/>
        <w:t xml:space="preserve">Date: 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w:t>
      </w:r>
      <w:r w:rsidDel="00000000" w:rsidR="00000000" w:rsidRPr="00000000">
        <w:rPr>
          <w:rtl w:val="0"/>
        </w:rPr>
        <w:t xml:space="preserve">Leadership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 Signature: _______________________________</w:t>
        <w:tab/>
        <w:t xml:space="preserve">Date: 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Decision: 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
          <w:szCs w:val="15"/>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
          <w:szCs w:val="15"/>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
          <w:szCs w:val="15"/>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form is part of the acceleration/retention process for K-8; provide form and documentation to Principal/Director.</w:t>
      </w:r>
      <w:r w:rsidDel="00000000" w:rsidR="00000000" w:rsidRPr="00000000">
        <w:rPr>
          <w:rtl w:val="0"/>
        </w:rPr>
      </w:r>
    </w:p>
    <w:p w:rsidR="00000000" w:rsidDel="00000000" w:rsidP="00000000" w:rsidRDefault="00000000" w:rsidRPr="00000000" w14:paraId="00000041">
      <w:pPr>
        <w:pageBreakBefore w:val="0"/>
        <w:jc w:val="left"/>
        <w:rPr>
          <w:b w:val="1"/>
          <w:color w:val="000000"/>
          <w:sz w:val="18"/>
          <w:szCs w:val="18"/>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jc w:val="center"/>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Name]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[Student Name]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[Parent’s name],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for providing us with information regarding your child’s progress. It is our continuing pleasure to support you and your child and to be part of your child’s education.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Retaining or accelerating a student is a rare occurrence and may only be requested within two weeks following the end of a semester. We do not encourage grade accelerations and retentions, but understand that in some cases they may be necessary for certain students. The Education Leadership Team at JCS, Inc. review each retention and acceleration on an individual basis to ensure that there is careful consideration when making these decisions.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Educational Leadership Team has met and thoroughly reviewed all submitted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including formal and informal assessment scores, work samples, grades, Safety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 and Student Study Team meeting notes, anecdotal information provided by the teacher and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and any other supporting evidence provided to the team. The decision of the team is to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approve/deny the retention/acceleration of student name for the upcoming school year. These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are given careful consideration and we sincerely hope that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student finds success.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further questions regarding the decision or the process, please do not hesitate to contact your Educational Facilitator.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Principal/Director</w:t>
      </w:r>
    </w:p>
    <w:p w:rsidR="00000000" w:rsidDel="00000000" w:rsidP="00000000" w:rsidRDefault="00000000" w:rsidRPr="00000000" w14:paraId="00000057">
      <w:pPr>
        <w:pageBreakBefore w:val="0"/>
        <w:rPr>
          <w:color w:val="000000"/>
        </w:rPr>
      </w:pPr>
      <w:r w:rsidDel="00000000" w:rsidR="00000000" w:rsidRPr="00000000">
        <w:rPr>
          <w:color w:val="000000"/>
          <w:rtl w:val="0"/>
        </w:rPr>
        <w:t xml:space="preserve">Name of JCS Charter School</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PROMOTION/ACCELERATION/RETENTION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law requires that both the School and the student’s parent/guardian must be in agreement that it is beneficial for the student to continue in kindergarten for not more than one additional year. A continuance agreement is required to be signed and dated by the parent near the admission anniversary date AND cannot exceed one year beyond the anniversary date.</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Agreement to Continue Pupil in Kindergarten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Reflects amendments to Education Code sections 46300 and 48011, effective January 1, 1992.</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Name of pupil: ______________________________________________________________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Kindergarten attendance anniversary date: ________________________________________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Name of school official approving for district: _____________________________________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Signature of Educational Facilitator: __________________________ Date: 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Information for Parent or Guardian: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California law provides that after a child has been lawfully admitted to a kindergarten and has attended for a year, the child shall be promoted to the first grade unless the school and the child’s parent/guardian agree to having the child continue to attend kindergarten for not longer than one additional year. This rule applies whether a child begins kindergarten at the beginning of a school year or at some later date, so that a child who beings kindergarten in January, for example, shall be promoted the following January unless there is formal agreement to having him or her continue. Because kindergarten age children often do not develop at steady or predictable rates, the California Department of Education recommends that approval for a child to continue not be given until near the anniversary of a child’s admittance to kindergarten.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 agree to having my child (named above) continue in kindergarten until _______________ (date) (may not be more than one year beyond anniversary).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Signature of Parent/Guardian: ______________________________________ Date: ________</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Printed/typed name of Parent/Guardian: ____________________________________________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Address: ____________________________________________________________________________</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Telephone number: ____________________________________________________________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form is state pre-approved for use. Any alternate forms must be approved by CDE.</w:t>
      </w:r>
    </w:p>
    <w:p w:rsidR="00000000" w:rsidDel="00000000" w:rsidP="00000000" w:rsidRDefault="00000000" w:rsidRPr="00000000" w14:paraId="0000007D">
      <w:pPr>
        <w:pageBreakBefore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720"/>
      <w:pgNumType w:start="1"/>
      <w:cols w:equalWidth="0" w:num="1">
        <w:col w:space="0" w:w="1080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5022.3 JCS, Inc. Grade Level Change Consent Form</w:t>
      <w:tab/>
      <w:tab/>
      <w:t xml:space="preserve">Last Revised: 05/08/2020  </w:t>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sz w:val="20"/>
        <w:szCs w:val="20"/>
        <w:rtl w:val="0"/>
      </w:rPr>
      <w:t xml:space="preserve">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JCS, Inc. </w:t>
    </w:r>
    <w:r w:rsidDel="00000000" w:rsidR="00000000" w:rsidRPr="00000000">
      <w:rPr>
        <w:rFonts w:ascii="Calibri" w:cs="Calibri" w:eastAsia="Calibri" w:hAnsi="Calibri"/>
        <w:sz w:val="20"/>
        <w:szCs w:val="20"/>
        <w:rtl w:val="0"/>
      </w:rPr>
      <w:t xml:space="preserve">Grade Level Change Consent Form</w:t>
      <w:tab/>
      <w:tab/>
      <w:t xml:space="preserve">Last Revised: 05/08/2020</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tab/>
      <w:tab/>
      <w:tab/>
      <w:tab/>
      <w:t xml:space="preserve">Page </w:t>
    </w:r>
    <w:r w:rsidDel="00000000" w:rsidR="00000000" w:rsidRPr="00000000">
      <w:rPr>
        <w:rFonts w:ascii="Calibri" w:cs="Calibri" w:eastAsia="Calibri" w:hAnsi="Calibri"/>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sz w:val="20"/>
        <w:szCs w:val="20"/>
        <w:rtl w:val="0"/>
      </w:rPr>
      <w:t xml:space="preserve">4</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0"/>
        <w:szCs w:val="20"/>
        <w:rtl w:val="0"/>
      </w:rPr>
      <w:t xml:space="preserve">JCS, Inc. Kindergarten Continuance Agreement Form</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tab/>
      <w:tab/>
      <w:t xml:space="preserve">Last Revised: 05/08/2020</w:t>
      <w:tab/>
      <w:tab/>
      <w:tab/>
      <w:tab/>
      <w:t xml:space="preserve">Page </w:t>
    </w:r>
    <w:r w:rsidDel="00000000" w:rsidR="00000000" w:rsidRPr="00000000">
      <w:rPr>
        <w:rFonts w:ascii="Calibri" w:cs="Calibri" w:eastAsia="Calibri" w:hAnsi="Calibri"/>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sz w:val="20"/>
        <w:szCs w:val="20"/>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rFonts w:ascii="Arial" w:cs="Arial" w:eastAsia="Arial" w:hAnsi="Arial"/>
        <w:sz w:val="4"/>
        <w:szCs w:val="4"/>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910"/>
      <w:tblGridChange w:id="0">
        <w:tblGrid>
          <w:gridCol w:w="1890"/>
          <w:gridCol w:w="8910"/>
        </w:tblGrid>
      </w:tblGridChange>
    </w:tblGrid>
    <w:tr>
      <w:trPr>
        <w:cantSplit w:val="0"/>
        <w:trHeight w:val="16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7F">
          <w:pPr>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823913" cy="707400"/>
                <wp:effectExtent b="25400" l="25400" r="25400" t="254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707400"/>
                        </a:xfrm>
                        <a:prstGeom prst="rect"/>
                        <a:ln w="25400">
                          <a:solidFill>
                            <a:srgbClr val="1E4D78"/>
                          </a:solidFill>
                          <a:prstDash val="solid"/>
                        </a:ln>
                      </pic:spPr>
                    </pic:pic>
                  </a:graphicData>
                </a:graphic>
              </wp:inline>
            </w:drawing>
          </w:r>
          <w:r w:rsidDel="00000000" w:rsidR="00000000" w:rsidRPr="00000000">
            <w:rPr>
              <w:rtl w:val="0"/>
            </w:rPr>
          </w:r>
        </w:p>
        <w:p w:rsidR="00000000" w:rsidDel="00000000" w:rsidP="00000000" w:rsidRDefault="00000000" w:rsidRPr="00000000" w14:paraId="00000080">
          <w:pPr>
            <w:rPr>
              <w:rFonts w:ascii="Calibri" w:cs="Calibri" w:eastAsia="Calibri" w:hAnsi="Calibri"/>
              <w:b w:val="1"/>
              <w:color w:val="1e4d78"/>
              <w:sz w:val="22"/>
              <w:szCs w:val="22"/>
            </w:rPr>
          </w:pPr>
          <w:r w:rsidDel="00000000" w:rsidR="00000000" w:rsidRPr="00000000">
            <w:rPr>
              <w:rFonts w:ascii="Calibri" w:cs="Calibri" w:eastAsia="Calibri" w:hAnsi="Calibri"/>
              <w:b w:val="1"/>
              <w:color w:val="1e4d78"/>
              <w:sz w:val="22"/>
              <w:szCs w:val="22"/>
              <w:rtl w:val="0"/>
            </w:rPr>
            <w:t xml:space="preserve">JCS-Inc. Form</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81">
          <w:pPr>
            <w:widowControl w:val="0"/>
            <w:ind w:left="90" w:firstLine="0"/>
            <w:rPr>
              <w:rFonts w:ascii="Calibri" w:cs="Calibri" w:eastAsia="Calibri" w:hAnsi="Calibri"/>
              <w:b w:val="1"/>
              <w:color w:val="434343"/>
              <w:sz w:val="16"/>
              <w:szCs w:val="16"/>
            </w:rPr>
          </w:pPr>
          <w:r w:rsidDel="00000000" w:rsidR="00000000" w:rsidRPr="00000000">
            <w:rPr>
              <w:rtl w:val="0"/>
            </w:rPr>
          </w:r>
        </w:p>
        <w:tbl>
          <w:tblPr>
            <w:tblStyle w:val="Table4"/>
            <w:tblW w:w="874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74"/>
            <w:gridCol w:w="4374"/>
            <w:tblGridChange w:id="0">
              <w:tblGrid>
                <w:gridCol w:w="4374"/>
                <w:gridCol w:w="4374"/>
              </w:tblGrid>
            </w:tblGridChange>
          </w:tblGrid>
          <w:tr>
            <w:trPr>
              <w:cantSplit w:val="0"/>
              <w:trHeight w:val="480" w:hRule="atLeast"/>
              <w:tblHeader w:val="0"/>
            </w:trPr>
            <w:tc>
              <w:tcPr>
                <w:gridSpan w:val="2"/>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b w:val="1"/>
                    <w:color w:val="1e4d78"/>
                    <w:sz w:val="32"/>
                    <w:szCs w:val="32"/>
                  </w:rPr>
                </w:pPr>
                <w:r w:rsidDel="00000000" w:rsidR="00000000" w:rsidRPr="00000000">
                  <w:rPr>
                    <w:b w:val="1"/>
                    <w:color w:val="1e4d78"/>
                    <w:sz w:val="32"/>
                    <w:szCs w:val="32"/>
                    <w:rtl w:val="0"/>
                  </w:rPr>
                  <w:t xml:space="preserve">Grade Level Change Consent Form</w:t>
                </w:r>
              </w:p>
            </w:tc>
          </w:tr>
          <w:tr>
            <w:trPr>
              <w:cantSplit w:val="0"/>
              <w:trHeight w:val="480" w:hRule="atLeast"/>
              <w:tblHeader w:val="0"/>
            </w:trPr>
            <w:tc>
              <w:tcPr>
                <w:gridSpan w:val="2"/>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b w:val="1"/>
                    <w:color w:val="434343"/>
                    <w:sz w:val="28"/>
                    <w:szCs w:val="28"/>
                  </w:rPr>
                </w:pPr>
                <w:r w:rsidDel="00000000" w:rsidR="00000000" w:rsidRPr="00000000">
                  <w:rPr>
                    <w:rtl w:val="0"/>
                  </w:rPr>
                </w:r>
              </w:p>
            </w:tc>
          </w:tr>
        </w:tbl>
        <w:p w:rsidR="00000000" w:rsidDel="00000000" w:rsidP="00000000" w:rsidRDefault="00000000" w:rsidRPr="00000000" w14:paraId="00000086">
          <w:pPr>
            <w:widowControl w:val="0"/>
            <w:ind w:left="90" w:firstLine="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87">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pPr>
    <w:r w:rsidDel="00000000" w:rsidR="00000000" w:rsidRPr="00000000">
      <w:rPr/>
      <w:drawing>
        <wp:inline distB="114300" distT="114300" distL="114300" distR="114300">
          <wp:extent cx="5767388" cy="122557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7388" cy="122557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rFonts w:ascii="Arial" w:cs="Arial" w:eastAsia="Arial" w:hAnsi="Arial"/>
        <w:sz w:val="4"/>
        <w:szCs w:val="4"/>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910"/>
      <w:tblGridChange w:id="0">
        <w:tblGrid>
          <w:gridCol w:w="1890"/>
          <w:gridCol w:w="8910"/>
        </w:tblGrid>
      </w:tblGridChange>
    </w:tblGrid>
    <w:tr>
      <w:trPr>
        <w:cantSplit w:val="0"/>
        <w:trHeight w:val="16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8E">
          <w:pPr>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823913" cy="707400"/>
                <wp:effectExtent b="25400" l="25400" r="25400" t="254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707400"/>
                        </a:xfrm>
                        <a:prstGeom prst="rect"/>
                        <a:ln w="25400">
                          <a:solidFill>
                            <a:srgbClr val="1E4D78"/>
                          </a:solidFill>
                          <a:prstDash val="solid"/>
                        </a:ln>
                      </pic:spPr>
                    </pic:pic>
                  </a:graphicData>
                </a:graphic>
              </wp:inline>
            </w:drawing>
          </w: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1e4d78"/>
              <w:sz w:val="22"/>
              <w:szCs w:val="22"/>
            </w:rPr>
          </w:pPr>
          <w:r w:rsidDel="00000000" w:rsidR="00000000" w:rsidRPr="00000000">
            <w:rPr>
              <w:rFonts w:ascii="Calibri" w:cs="Calibri" w:eastAsia="Calibri" w:hAnsi="Calibri"/>
              <w:b w:val="1"/>
              <w:color w:val="1e4d78"/>
              <w:sz w:val="22"/>
              <w:szCs w:val="22"/>
              <w:rtl w:val="0"/>
            </w:rPr>
            <w:t xml:space="preserve">JCS-Inc. Form</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90">
          <w:pPr>
            <w:widowControl w:val="0"/>
            <w:ind w:left="90" w:firstLine="0"/>
            <w:rPr>
              <w:rFonts w:ascii="Calibri" w:cs="Calibri" w:eastAsia="Calibri" w:hAnsi="Calibri"/>
              <w:b w:val="1"/>
              <w:color w:val="434343"/>
              <w:sz w:val="16"/>
              <w:szCs w:val="16"/>
            </w:rPr>
          </w:pPr>
          <w:r w:rsidDel="00000000" w:rsidR="00000000" w:rsidRPr="00000000">
            <w:rPr>
              <w:rtl w:val="0"/>
            </w:rPr>
          </w:r>
        </w:p>
        <w:tbl>
          <w:tblPr>
            <w:tblStyle w:val="Table6"/>
            <w:tblW w:w="874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74"/>
            <w:gridCol w:w="4374"/>
            <w:tblGridChange w:id="0">
              <w:tblGrid>
                <w:gridCol w:w="4374"/>
                <w:gridCol w:w="4374"/>
              </w:tblGrid>
            </w:tblGridChange>
          </w:tblGrid>
          <w:tr>
            <w:trPr>
              <w:cantSplit w:val="0"/>
              <w:trHeight w:val="480" w:hRule="atLeast"/>
              <w:tblHeader w:val="0"/>
            </w:trPr>
            <w:tc>
              <w:tcPr>
                <w:gridSpan w:val="2"/>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b w:val="1"/>
                    <w:color w:val="1e4d78"/>
                    <w:sz w:val="32"/>
                    <w:szCs w:val="32"/>
                  </w:rPr>
                </w:pPr>
                <w:r w:rsidDel="00000000" w:rsidR="00000000" w:rsidRPr="00000000">
                  <w:rPr>
                    <w:b w:val="1"/>
                    <w:color w:val="1e4d78"/>
                    <w:sz w:val="32"/>
                    <w:szCs w:val="32"/>
                    <w:rtl w:val="0"/>
                  </w:rPr>
                  <w:t xml:space="preserve">Kindergarten Continuance Agreement Form</w:t>
                </w:r>
              </w:p>
            </w:tc>
          </w:tr>
          <w:tr>
            <w:trPr>
              <w:cantSplit w:val="0"/>
              <w:trHeight w:val="480" w:hRule="atLeast"/>
              <w:tblHeader w:val="0"/>
            </w:trPr>
            <w:tc>
              <w:tcPr>
                <w:gridSpan w:val="2"/>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b w:val="1"/>
                    <w:color w:val="434343"/>
                    <w:sz w:val="28"/>
                    <w:szCs w:val="28"/>
                  </w:rPr>
                </w:pPr>
                <w:r w:rsidDel="00000000" w:rsidR="00000000" w:rsidRPr="00000000">
                  <w:rPr>
                    <w:rtl w:val="0"/>
                  </w:rPr>
                </w:r>
              </w:p>
            </w:tc>
          </w:tr>
        </w:tbl>
        <w:p w:rsidR="00000000" w:rsidDel="00000000" w:rsidP="00000000" w:rsidRDefault="00000000" w:rsidRPr="00000000" w14:paraId="00000095">
          <w:pPr>
            <w:widowControl w:val="0"/>
            <w:ind w:left="90" w:firstLine="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