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Procedure: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color w:val="00000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If reparation is not made, JCS shall afford the student his/her due process rights, expulsion procedures and may withhold the student's grades, diploma, or transcripts.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color w:val="00000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If the student and parent/guardian are unable to pay for the damages or return the property, the School Director/Principal or designee shall provide a program of voluntary work for the student to do.  When this voluntary work is completed, the student's grades, diploma, or transcripts shall be released.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color w:val="00000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When a student from whom the school is withholding grades, diploma or transcripts transfers to another school, this information shall be sent to the new school with the student's records and a request that these items continue to be withheld until the new school receives notification that the debt has been cleared.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color w:val="00000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The School Director/Principal shall notify the parent/guardian in writing that this school's decision to withhold grades, diplomas, or transcript will be enforced by the new school.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highlight w:val="white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JCS shall withhold grades,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diplomas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or transcripts from any student transferring into the school whose misconduct caused a previous school to withhold them.  When informed by the previous school that its decision has been rescinded, JCS shall release these documents.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pageBreakBefore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Original 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rocedure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12/09/05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right="-117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rocedure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06/05/2020</w:t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5040.2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Withholding Grades, Diplomas, and Transcripts </w:t>
    </w:r>
    <w:r w:rsidDel="00000000" w:rsidR="00000000" w:rsidRPr="00000000">
      <w:rPr>
        <w:sz w:val="22"/>
        <w:szCs w:val="22"/>
        <w:rtl w:val="0"/>
      </w:rPr>
      <w:t xml:space="preserve">Admin Regs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</w:t>
    </w:r>
    <w:r w:rsidDel="00000000" w:rsidR="00000000" w:rsidRPr="00000000">
      <w:rPr>
        <w:sz w:val="22"/>
        <w:szCs w:val="22"/>
        <w:rtl w:val="0"/>
      </w:rPr>
      <w:t xml:space="preserve">      </w:t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Infectious Disease Prevention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14">
          <w:pPr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5">
          <w:pPr>
            <w:widowControl w:val="0"/>
            <w:rPr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6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  <w:rtl w:val="0"/>
                  </w:rPr>
                  <w:t xml:space="preserve">5040.2 Withholding Grades, Diploma or Transcript Administrative Regulations</w:t>
                </w:r>
              </w:p>
              <w:p w:rsidR="00000000" w:rsidDel="00000000" w:rsidP="00000000" w:rsidRDefault="00000000" w:rsidRPr="00000000" w14:paraId="00000017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9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</w:tr>
        </w:tbl>
        <w:p w:rsidR="00000000" w:rsidDel="00000000" w:rsidP="00000000" w:rsidRDefault="00000000" w:rsidRPr="00000000" w14:paraId="0000001B">
          <w:pPr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C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D">
          <w:pPr>
            <w:widowControl w:val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tabs>
        <w:tab w:val="center" w:leader="none" w:pos="4680"/>
        <w:tab w:val="right" w:leader="none" w:pos="9360"/>
      </w:tabs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