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270" w:firstLine="0"/>
        <w:rPr>
          <w:sz w:val="22"/>
          <w:szCs w:val="22"/>
        </w:rPr>
      </w:pPr>
      <w:r w:rsidDel="00000000" w:rsidR="00000000" w:rsidRPr="00000000">
        <w:rPr>
          <w:rtl w:val="0"/>
        </w:rPr>
      </w:r>
    </w:p>
    <w:p w:rsidR="00000000" w:rsidDel="00000000" w:rsidP="00000000" w:rsidRDefault="00000000" w:rsidRPr="00000000" w14:paraId="00000002">
      <w:pPr>
        <w:pageBreakBefore w:val="0"/>
        <w:spacing w:line="276" w:lineRule="auto"/>
        <w:ind w:left="0" w:right="0" w:firstLine="0"/>
        <w:rPr>
          <w:b w:val="1"/>
        </w:rPr>
      </w:pPr>
      <w:r w:rsidDel="00000000" w:rsidR="00000000" w:rsidRPr="00000000">
        <w:rPr>
          <w:rtl w:val="0"/>
        </w:rPr>
        <w:t xml:space="preserve">Please remember that Educational Materials are ordered as they align with a student’s course of study and lessons that address grade-level standards.  Please provide descriptions in your orders of the standards and lessons the items will meet. EFs should provide a lesson plan for books, activities, or curriculum.  We appreciate efforts in finding the best value items. </w:t>
      </w:r>
      <w:r w:rsidDel="00000000" w:rsidR="00000000" w:rsidRPr="00000000">
        <w:rPr>
          <w:b w:val="1"/>
          <w:rtl w:val="0"/>
        </w:rPr>
        <w:t xml:space="preserve">Please note that all materials purchased by JCS are property of JCS unless items are consumable.</w:t>
      </w:r>
    </w:p>
    <w:p w:rsidR="00000000" w:rsidDel="00000000" w:rsidP="00000000" w:rsidRDefault="00000000" w:rsidRPr="00000000" w14:paraId="00000003">
      <w:pPr>
        <w:pageBreakBefore w:val="0"/>
        <w:ind w:left="0" w:right="0" w:firstLine="0"/>
        <w:rPr>
          <w:b w:val="1"/>
        </w:rPr>
      </w:pPr>
      <w:r w:rsidDel="00000000" w:rsidR="00000000" w:rsidRPr="00000000">
        <w:rPr>
          <w:rtl w:val="0"/>
        </w:rPr>
      </w:r>
    </w:p>
    <w:p w:rsidR="00000000" w:rsidDel="00000000" w:rsidP="00000000" w:rsidRDefault="00000000" w:rsidRPr="00000000" w14:paraId="00000004">
      <w:pPr>
        <w:pageBreakBefore w:val="0"/>
        <w:ind w:left="0" w:right="0" w:firstLine="0"/>
        <w:rPr/>
      </w:pPr>
      <w:r w:rsidDel="00000000" w:rsidR="00000000" w:rsidRPr="00000000">
        <w:rPr>
          <w:rtl w:val="0"/>
        </w:rPr>
        <w:t xml:space="preserve">Approvers will ask the following questions, and EFs will be the first approval level to consider these questions: </w:t>
      </w:r>
    </w:p>
    <w:p w:rsidR="00000000" w:rsidDel="00000000" w:rsidP="00000000" w:rsidRDefault="00000000" w:rsidRPr="00000000" w14:paraId="00000005">
      <w:pPr>
        <w:pageBreakBefore w:val="0"/>
        <w:ind w:left="0" w:right="0" w:firstLine="0"/>
        <w:rPr/>
      </w:pPr>
      <w:r w:rsidDel="00000000" w:rsidR="00000000" w:rsidRPr="00000000">
        <w:rPr>
          <w:rtl w:val="0"/>
        </w:rPr>
      </w:r>
    </w:p>
    <w:p w:rsidR="00000000" w:rsidDel="00000000" w:rsidP="00000000" w:rsidRDefault="00000000" w:rsidRPr="00000000" w14:paraId="00000006">
      <w:pPr>
        <w:pageBreakBefore w:val="0"/>
        <w:numPr>
          <w:ilvl w:val="0"/>
          <w:numId w:val="5"/>
        </w:numPr>
        <w:spacing w:after="200" w:lineRule="auto"/>
        <w:ind w:left="540" w:right="0" w:hanging="360"/>
        <w:rPr>
          <w:u w:val="none"/>
        </w:rPr>
      </w:pPr>
      <w:r w:rsidDel="00000000" w:rsidR="00000000" w:rsidRPr="00000000">
        <w:rPr>
          <w:rtl w:val="0"/>
        </w:rPr>
        <w:t xml:space="preserve">Are these supplies something that a typical school would supply?</w:t>
      </w:r>
    </w:p>
    <w:p w:rsidR="00000000" w:rsidDel="00000000" w:rsidP="00000000" w:rsidRDefault="00000000" w:rsidRPr="00000000" w14:paraId="00000007">
      <w:pPr>
        <w:pageBreakBefore w:val="0"/>
        <w:numPr>
          <w:ilvl w:val="0"/>
          <w:numId w:val="5"/>
        </w:numPr>
        <w:spacing w:after="200" w:lineRule="auto"/>
        <w:ind w:left="540" w:right="0" w:hanging="360"/>
        <w:rPr>
          <w:u w:val="none"/>
        </w:rPr>
      </w:pPr>
      <w:r w:rsidDel="00000000" w:rsidR="00000000" w:rsidRPr="00000000">
        <w:rPr>
          <w:rtl w:val="0"/>
        </w:rPr>
        <w:t xml:space="preserve">Are these supplies grade/age appropriate?</w:t>
      </w:r>
    </w:p>
    <w:p w:rsidR="00000000" w:rsidDel="00000000" w:rsidP="00000000" w:rsidRDefault="00000000" w:rsidRPr="00000000" w14:paraId="00000008">
      <w:pPr>
        <w:pageBreakBefore w:val="0"/>
        <w:numPr>
          <w:ilvl w:val="0"/>
          <w:numId w:val="5"/>
        </w:numPr>
        <w:spacing w:after="200" w:lineRule="auto"/>
        <w:ind w:left="540" w:right="0" w:hanging="360"/>
        <w:rPr>
          <w:u w:val="none"/>
        </w:rPr>
      </w:pPr>
      <w:r w:rsidDel="00000000" w:rsidR="00000000" w:rsidRPr="00000000">
        <w:rPr>
          <w:rtl w:val="0"/>
        </w:rPr>
        <w:t xml:space="preserve">Are these supplies appropriate to the students’ needs and course of study for this school year? </w:t>
      </w:r>
      <w:r w:rsidDel="00000000" w:rsidR="00000000" w:rsidRPr="00000000">
        <w:rPr>
          <w:rtl w:val="0"/>
        </w:rPr>
      </w:r>
    </w:p>
    <w:p w:rsidR="00000000" w:rsidDel="00000000" w:rsidP="00000000" w:rsidRDefault="00000000" w:rsidRPr="00000000" w14:paraId="00000009">
      <w:pPr>
        <w:pageBreakBefore w:val="0"/>
        <w:ind w:left="0" w:right="-270" w:firstLine="0"/>
        <w:rPr>
          <w:b w:val="1"/>
          <w:sz w:val="22"/>
          <w:szCs w:val="22"/>
        </w:rPr>
      </w:pPr>
      <w:r w:rsidDel="00000000" w:rsidR="00000000" w:rsidRPr="00000000">
        <w:rPr>
          <w:rtl w:val="0"/>
        </w:rPr>
      </w:r>
    </w:p>
    <w:p w:rsidR="00000000" w:rsidDel="00000000" w:rsidP="00000000" w:rsidRDefault="00000000" w:rsidRPr="00000000" w14:paraId="0000000A">
      <w:pPr>
        <w:pageBreakBefore w:val="0"/>
        <w:ind w:left="0" w:right="-270" w:firstLine="0"/>
        <w:rPr>
          <w:b w:val="1"/>
          <w:sz w:val="22"/>
          <w:szCs w:val="22"/>
        </w:rPr>
      </w:pPr>
      <w:r w:rsidDel="00000000" w:rsidR="00000000" w:rsidRPr="00000000">
        <w:rPr>
          <w:rtl w:val="0"/>
        </w:rPr>
      </w:r>
    </w:p>
    <w:tbl>
      <w:tblPr>
        <w:tblStyle w:val="Table1"/>
        <w:tblW w:w="9855.0" w:type="dxa"/>
        <w:jc w:val="left"/>
        <w:tblInd w:w="207.0" w:type="dxa"/>
        <w:tblBorders>
          <w:top w:color="000000" w:space="0" w:sz="18" w:val="single"/>
          <w:left w:color="000000" w:space="0" w:sz="4" w:val="single"/>
          <w:bottom w:color="000000" w:space="0" w:sz="18" w:val="single"/>
          <w:right w:color="000000" w:space="0" w:sz="4" w:val="single"/>
          <w:insideH w:color="000000" w:space="0" w:sz="4" w:val="single"/>
          <w:insideV w:color="000000" w:space="0" w:sz="4" w:val="single"/>
        </w:tblBorders>
        <w:tblLayout w:type="fixed"/>
        <w:tblLook w:val="04A0"/>
      </w:tblPr>
      <w:tblGrid>
        <w:gridCol w:w="2130"/>
        <w:gridCol w:w="7725"/>
        <w:tblGridChange w:id="0">
          <w:tblGrid>
            <w:gridCol w:w="2130"/>
            <w:gridCol w:w="7725"/>
          </w:tblGrid>
        </w:tblGridChange>
      </w:tblGrid>
      <w:tr>
        <w:trPr>
          <w:cantSplit w:val="0"/>
          <w:tblHeader w:val="0"/>
        </w:trPr>
        <w:tc>
          <w:tcPr>
            <w:shd w:fill="auto" w:val="clear"/>
            <w:tcMar>
              <w:top w:w="144.0" w:type="dxa"/>
              <w:left w:w="144.0" w:type="dxa"/>
              <w:bottom w:w="144.0" w:type="dxa"/>
              <w:right w:w="144.0" w:type="dxa"/>
            </w:tcMar>
          </w:tcPr>
          <w:p w:rsidR="00000000" w:rsidDel="00000000" w:rsidP="00000000" w:rsidRDefault="00000000" w:rsidRPr="00000000" w14:paraId="0000000B">
            <w:pPr>
              <w:pageBreakBefore w:val="0"/>
              <w:ind w:left="90" w:firstLine="0"/>
              <w:rPr>
                <w:color w:val="000000"/>
              </w:rPr>
            </w:pPr>
            <w:r w:rsidDel="00000000" w:rsidR="00000000" w:rsidRPr="00000000">
              <w:rPr>
                <w:color w:val="000000"/>
                <w:rtl w:val="0"/>
              </w:rPr>
              <w:t xml:space="preserve">Material</w:t>
            </w:r>
          </w:p>
        </w:tc>
        <w:tc>
          <w:tcPr>
            <w:shd w:fill="auto" w:val="clear"/>
            <w:tcMar>
              <w:top w:w="144.0" w:type="dxa"/>
              <w:left w:w="144.0" w:type="dxa"/>
              <w:bottom w:w="144.0" w:type="dxa"/>
              <w:right w:w="144.0" w:type="dxa"/>
            </w:tcMar>
          </w:tcPr>
          <w:p w:rsidR="00000000" w:rsidDel="00000000" w:rsidP="00000000" w:rsidRDefault="00000000" w:rsidRPr="00000000" w14:paraId="0000000C">
            <w:pPr>
              <w:pageBreakBefore w:val="0"/>
              <w:ind w:left="90" w:firstLine="0"/>
              <w:rPr>
                <w:color w:val="000000"/>
              </w:rPr>
            </w:pPr>
            <w:r w:rsidDel="00000000" w:rsidR="00000000" w:rsidRPr="00000000">
              <w:rPr>
                <w:color w:val="000000"/>
                <w:rtl w:val="0"/>
              </w:rPr>
              <w:t xml:space="preserve">Description</w:t>
            </w:r>
          </w:p>
        </w:tc>
      </w:tr>
      <w:tr>
        <w:trPr>
          <w:cantSplit w:val="0"/>
          <w:tblHeader w:val="0"/>
        </w:trPr>
        <w:tc>
          <w:tcPr>
            <w:tcBorders>
              <w:top w:color="000000" w:space="0" w:sz="18" w:val="single"/>
              <w:bottom w:color="000000" w:space="0" w:sz="4" w:val="single"/>
              <w:right w:color="000000" w:space="0" w:sz="4" w:val="single"/>
            </w:tcBorders>
            <w:shd w:fill="auto" w:val="clear"/>
            <w:tcMar>
              <w:top w:w="144.0" w:type="dxa"/>
              <w:left w:w="144.0" w:type="dxa"/>
              <w:bottom w:w="144.0" w:type="dxa"/>
              <w:right w:w="144.0" w:type="dxa"/>
            </w:tcMar>
          </w:tcPr>
          <w:p w:rsidR="00000000" w:rsidDel="00000000" w:rsidP="00000000" w:rsidRDefault="00000000" w:rsidRPr="00000000" w14:paraId="0000000D">
            <w:pPr>
              <w:pageBreakBefore w:val="0"/>
              <w:spacing w:before="120" w:lineRule="auto"/>
              <w:ind w:left="90" w:firstLine="0"/>
              <w:rPr>
                <w:b w:val="0"/>
                <w:color w:val="000000"/>
              </w:rPr>
            </w:pPr>
            <w:r w:rsidDel="00000000" w:rsidR="00000000" w:rsidRPr="00000000">
              <w:rPr>
                <w:b w:val="0"/>
                <w:color w:val="000000"/>
                <w:rtl w:val="0"/>
              </w:rPr>
              <w:t xml:space="preserve">Art Supplies and Office Supplies</w:t>
            </w:r>
          </w:p>
        </w:tc>
        <w:tc>
          <w:tcPr>
            <w:tcBorders>
              <w:top w:color="000000" w:space="0" w:sz="18" w:val="single"/>
              <w:left w:color="000000" w:space="0" w:sz="4" w:val="single"/>
              <w:bottom w:color="000000" w:space="0" w:sz="4" w:val="single"/>
            </w:tcBorders>
            <w:tcMar>
              <w:top w:w="144.0" w:type="dxa"/>
              <w:left w:w="144.0" w:type="dxa"/>
              <w:bottom w:w="144.0" w:type="dxa"/>
              <w:right w:w="144.0" w:type="dxa"/>
            </w:tcMar>
          </w:tcPr>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Supplies must be appropriate for age, course of study, and what a typical school would provide to a student in that grade level</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Order quantities must be appropriate to the student’s needs and course of study for the current year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Please use JCS-prepared art kits whenever possible (art ki</w:t>
            </w:r>
            <w:r w:rsidDel="00000000" w:rsidR="00000000" w:rsidRPr="00000000">
              <w:rPr>
                <w:color w:val="000000"/>
                <w:rtl w:val="0"/>
              </w:rPr>
              <w:t xml:space="preserve">ts include </w:t>
            </w:r>
            <w:r w:rsidDel="00000000" w:rsidR="00000000" w:rsidRPr="00000000">
              <w:rPr>
                <w:color w:val="000000"/>
                <w:rtl w:val="0"/>
              </w:rPr>
              <w:t xml:space="preserve">crayons, </w:t>
            </w:r>
            <w:r w:rsidDel="00000000" w:rsidR="00000000" w:rsidRPr="00000000">
              <w:rPr>
                <w:color w:val="000000"/>
                <w:rtl w:val="0"/>
              </w:rPr>
              <w:t xml:space="preserve">colored pencils, white glue, glue sticks, scissors, markers, construction paper, watercolor paint set)</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color w:val="000000"/>
                <w:rtl w:val="0"/>
              </w:rPr>
              <w:t xml:space="preserve">Supplies needed to support the student’s education such as paper, pencils, and basic necessities </w:t>
            </w:r>
            <w:r w:rsidDel="00000000" w:rsidR="00000000" w:rsidRPr="00000000">
              <w:rPr>
                <w:b w:val="1"/>
                <w:color w:val="000000"/>
                <w:rtl w:val="0"/>
              </w:rPr>
              <w:t xml:space="preserve">may be ordered</w:t>
            </w:r>
            <w:r w:rsidDel="00000000" w:rsidR="00000000" w:rsidRPr="00000000">
              <w:rPr>
                <w:color w:val="000000"/>
                <w:rtl w:val="0"/>
              </w:rPr>
              <w:t xml:space="preserve">. One ream of copy paper per semester</w:t>
            </w:r>
          </w:p>
          <w:p w:rsidR="00000000" w:rsidDel="00000000" w:rsidP="00000000" w:rsidRDefault="00000000" w:rsidRPr="00000000" w14:paraId="00000012">
            <w:pPr>
              <w:numPr>
                <w:ilvl w:val="0"/>
                <w:numId w:val="1"/>
              </w:numPr>
              <w:spacing w:after="120" w:before="120" w:lineRule="auto"/>
              <w:ind w:left="360"/>
              <w:rPr>
                <w:color w:val="000000"/>
              </w:rPr>
            </w:pPr>
            <w:r w:rsidDel="00000000" w:rsidR="00000000" w:rsidRPr="00000000">
              <w:rPr>
                <w:color w:val="000000"/>
                <w:rtl w:val="0"/>
              </w:rPr>
              <w:t xml:space="preserve">No color ink. ONLY one black ink cartridge per student per semester, and </w:t>
            </w:r>
            <w:r w:rsidDel="00000000" w:rsidR="00000000" w:rsidRPr="00000000">
              <w:rPr>
                <w:b w:val="1"/>
                <w:color w:val="000000"/>
                <w:rtl w:val="0"/>
              </w:rPr>
              <w:t xml:space="preserve">may be ordered</w:t>
            </w:r>
            <w:r w:rsidDel="00000000" w:rsidR="00000000" w:rsidRPr="00000000">
              <w:rPr>
                <w:color w:val="000000"/>
                <w:rtl w:val="0"/>
              </w:rPr>
              <w:t xml:space="preserve">. </w:t>
            </w: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Mar>
              <w:top w:w="144.0" w:type="dxa"/>
              <w:left w:w="144.0" w:type="dxa"/>
              <w:bottom w:w="144.0" w:type="dxa"/>
              <w:right w:w="144.0" w:type="dxa"/>
            </w:tcMar>
          </w:tcPr>
          <w:p w:rsidR="00000000" w:rsidDel="00000000" w:rsidP="00000000" w:rsidRDefault="00000000" w:rsidRPr="00000000" w14:paraId="00000013">
            <w:pPr>
              <w:pageBreakBefore w:val="0"/>
              <w:spacing w:after="120" w:before="120" w:lineRule="auto"/>
              <w:ind w:left="90" w:firstLine="0"/>
              <w:rPr>
                <w:b w:val="0"/>
                <w:color w:val="000000"/>
              </w:rPr>
            </w:pPr>
            <w:r w:rsidDel="00000000" w:rsidR="00000000" w:rsidRPr="00000000">
              <w:rPr>
                <w:b w:val="0"/>
                <w:color w:val="000000"/>
                <w:rtl w:val="0"/>
              </w:rPr>
              <w:t xml:space="preserve">Clothing</w:t>
            </w:r>
            <w:r w:rsidDel="00000000" w:rsidR="00000000" w:rsidRPr="00000000">
              <w:rPr>
                <w:rtl w:val="0"/>
              </w:rPr>
            </w:r>
          </w:p>
        </w:tc>
        <w:tc>
          <w:tcPr>
            <w:tcBorders>
              <w:top w:color="000000" w:space="0" w:sz="4" w:val="single"/>
              <w:left w:color="000000" w:space="0" w:sz="4" w:val="single"/>
              <w:bottom w:color="000000" w:space="0" w:sz="4" w:val="single"/>
            </w:tcBorders>
            <w:tcMar>
              <w:top w:w="144.0" w:type="dxa"/>
              <w:left w:w="144.0" w:type="dxa"/>
              <w:bottom w:w="144.0" w:type="dxa"/>
              <w:right w:w="144.0" w:type="dxa"/>
            </w:tcMar>
          </w:tcPr>
          <w:p w:rsidR="00000000" w:rsidDel="00000000" w:rsidP="00000000" w:rsidRDefault="00000000" w:rsidRPr="00000000" w14:paraId="00000014">
            <w:pPr>
              <w:pageBreakBefore w:val="0"/>
              <w:numPr>
                <w:ilvl w:val="0"/>
                <w:numId w:val="2"/>
              </w:numPr>
              <w:spacing w:after="120" w:before="120" w:lineRule="auto"/>
              <w:ind w:left="360" w:hanging="360"/>
              <w:rPr>
                <w:color w:val="000000"/>
                <w:u w:val="none"/>
              </w:rPr>
            </w:pPr>
            <w:r w:rsidDel="00000000" w:rsidR="00000000" w:rsidRPr="00000000">
              <w:rPr>
                <w:color w:val="000000"/>
                <w:rtl w:val="0"/>
              </w:rPr>
              <w:t xml:space="preserve">No clothing</w:t>
            </w:r>
          </w:p>
        </w:tc>
      </w:tr>
      <w:tr>
        <w:trPr>
          <w:cantSplit w:val="0"/>
          <w:tblHeader w:val="0"/>
        </w:trPr>
        <w:tc>
          <w:tcPr>
            <w:tcBorders>
              <w:top w:color="000000" w:space="0" w:sz="4" w:val="single"/>
              <w:bottom w:color="ffffff" w:space="0" w:sz="4" w:val="single"/>
              <w:right w:color="ffffff" w:space="0" w:sz="4" w:val="single"/>
            </w:tcBorders>
            <w:shd w:fill="auto" w:val="clear"/>
            <w:tcMar>
              <w:top w:w="144.0" w:type="dxa"/>
              <w:left w:w="144.0" w:type="dxa"/>
              <w:bottom w:w="144.0" w:type="dxa"/>
              <w:right w:w="144.0" w:type="dxa"/>
            </w:tcMar>
          </w:tcPr>
          <w:p w:rsidR="00000000" w:rsidDel="00000000" w:rsidP="00000000" w:rsidRDefault="00000000" w:rsidRPr="00000000" w14:paraId="00000015">
            <w:pPr>
              <w:pageBreakBefore w:val="0"/>
              <w:spacing w:before="120" w:lineRule="auto"/>
              <w:ind w:left="90" w:firstLine="0"/>
              <w:rPr>
                <w:b w:val="0"/>
                <w:color w:val="000000"/>
              </w:rPr>
            </w:pPr>
            <w:r w:rsidDel="00000000" w:rsidR="00000000" w:rsidRPr="00000000">
              <w:rPr>
                <w:rtl w:val="0"/>
              </w:rPr>
            </w:r>
          </w:p>
          <w:p w:rsidR="00000000" w:rsidDel="00000000" w:rsidP="00000000" w:rsidRDefault="00000000" w:rsidRPr="00000000" w14:paraId="00000016">
            <w:pPr>
              <w:pageBreakBefore w:val="0"/>
              <w:spacing w:before="120" w:lineRule="auto"/>
              <w:ind w:left="90" w:firstLine="0"/>
              <w:rPr>
                <w:b w:val="0"/>
                <w:color w:val="000000"/>
              </w:rPr>
            </w:pPr>
            <w:r w:rsidDel="00000000" w:rsidR="00000000" w:rsidRPr="00000000">
              <w:rPr>
                <w:rtl w:val="0"/>
              </w:rPr>
            </w:r>
          </w:p>
          <w:p w:rsidR="00000000" w:rsidDel="00000000" w:rsidP="00000000" w:rsidRDefault="00000000" w:rsidRPr="00000000" w14:paraId="00000017">
            <w:pPr>
              <w:pageBreakBefore w:val="0"/>
              <w:spacing w:before="120" w:lineRule="auto"/>
              <w:ind w:left="0" w:firstLine="0"/>
              <w:rPr>
                <w:b w:val="0"/>
                <w:color w:val="000000"/>
              </w:rPr>
            </w:pPr>
            <w:r w:rsidDel="00000000" w:rsidR="00000000" w:rsidRPr="00000000">
              <w:rPr>
                <w:rtl w:val="0"/>
              </w:rPr>
            </w:r>
          </w:p>
        </w:tc>
        <w:tc>
          <w:tcPr>
            <w:tcBorders>
              <w:top w:color="000000" w:space="0" w:sz="4" w:val="single"/>
              <w:left w:color="ffffff" w:space="0" w:sz="4" w:val="single"/>
              <w:bottom w:color="ffffff" w:space="0" w:sz="4" w:val="single"/>
              <w:right w:color="ffffff" w:space="0" w:sz="4" w:val="single"/>
            </w:tcBorders>
            <w:shd w:fill="auto" w:val="clear"/>
            <w:tcMar>
              <w:top w:w="144.0" w:type="dxa"/>
              <w:left w:w="144.0" w:type="dxa"/>
              <w:bottom w:w="144.0" w:type="dxa"/>
              <w:right w:w="144.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u w:val="none"/>
                <w:shd w:fill="auto" w:val="clear"/>
                <w:vertAlign w:val="baseline"/>
              </w:rPr>
            </w:pPr>
            <w:r w:rsidDel="00000000" w:rsidR="00000000" w:rsidRPr="00000000">
              <w:rPr>
                <w:rtl w:val="0"/>
              </w:rPr>
            </w:r>
          </w:p>
        </w:tc>
      </w:tr>
      <w:tr>
        <w:trPr>
          <w:cantSplit w:val="0"/>
          <w:tblHeader w:val="0"/>
        </w:trPr>
        <w:tc>
          <w:tcPr>
            <w:tcBorders>
              <w:top w:color="ffffff" w:space="0" w:sz="4" w:val="single"/>
              <w:bottom w:color="000000" w:space="0" w:sz="18" w:val="single"/>
            </w:tcBorders>
            <w:shd w:fill="auto" w:val="clear"/>
            <w:tcMar>
              <w:top w:w="144.0" w:type="dxa"/>
              <w:left w:w="144.0" w:type="dxa"/>
              <w:bottom w:w="144.0" w:type="dxa"/>
              <w:right w:w="144.0" w:type="dxa"/>
            </w:tcMar>
          </w:tcPr>
          <w:p w:rsidR="00000000" w:rsidDel="00000000" w:rsidP="00000000" w:rsidRDefault="00000000" w:rsidRPr="00000000" w14:paraId="00000019">
            <w:pPr>
              <w:ind w:left="0" w:firstLine="0"/>
              <w:rPr>
                <w:color w:val="000000"/>
              </w:rPr>
            </w:pPr>
            <w:r w:rsidDel="00000000" w:rsidR="00000000" w:rsidRPr="00000000">
              <w:rPr>
                <w:rtl w:val="0"/>
              </w:rPr>
            </w:r>
          </w:p>
        </w:tc>
        <w:tc>
          <w:tcPr>
            <w:tcBorders>
              <w:top w:color="ffffff" w:space="0" w:sz="4" w:val="single"/>
              <w:bottom w:color="000000" w:space="0" w:sz="18" w:val="single"/>
              <w:right w:color="ffffff" w:space="0" w:sz="4" w:val="single"/>
            </w:tcBorders>
            <w:shd w:fill="auto" w:val="clear"/>
            <w:tcMar>
              <w:top w:w="144.0" w:type="dxa"/>
              <w:left w:w="144.0" w:type="dxa"/>
              <w:bottom w:w="144.0" w:type="dxa"/>
              <w:right w:w="144.0" w:type="dxa"/>
            </w:tcMar>
          </w:tcPr>
          <w:p w:rsidR="00000000" w:rsidDel="00000000" w:rsidP="00000000" w:rsidRDefault="00000000" w:rsidRPr="00000000" w14:paraId="0000001A">
            <w:pPr>
              <w:ind w:left="90" w:firstLine="0"/>
              <w:rPr>
                <w:b w:val="1"/>
                <w:color w:val="000000"/>
              </w:rPr>
            </w:pPr>
            <w:r w:rsidDel="00000000" w:rsidR="00000000" w:rsidRPr="00000000">
              <w:rPr>
                <w:rtl w:val="0"/>
              </w:rPr>
            </w:r>
          </w:p>
        </w:tc>
      </w:tr>
      <w:tr>
        <w:trPr>
          <w:cantSplit w:val="0"/>
          <w:tblHeader w:val="0"/>
        </w:trPr>
        <w:tc>
          <w:tcPr>
            <w:tcBorders>
              <w:top w:color="000000" w:space="0" w:sz="18" w:val="single"/>
              <w:bottom w:color="000000" w:space="0" w:sz="18" w:val="single"/>
            </w:tcBorders>
            <w:shd w:fill="auto" w:val="clear"/>
            <w:tcMar>
              <w:top w:w="144.0" w:type="dxa"/>
              <w:left w:w="144.0" w:type="dxa"/>
              <w:bottom w:w="144.0" w:type="dxa"/>
              <w:right w:w="144.0" w:type="dxa"/>
            </w:tcMar>
          </w:tcPr>
          <w:p w:rsidR="00000000" w:rsidDel="00000000" w:rsidP="00000000" w:rsidRDefault="00000000" w:rsidRPr="00000000" w14:paraId="0000001B">
            <w:pPr>
              <w:ind w:left="90" w:firstLine="0"/>
              <w:rPr>
                <w:color w:val="000000"/>
              </w:rPr>
            </w:pPr>
            <w:r w:rsidDel="00000000" w:rsidR="00000000" w:rsidRPr="00000000">
              <w:rPr>
                <w:color w:val="000000"/>
                <w:rtl w:val="0"/>
              </w:rPr>
              <w:t xml:space="preserve">Material</w:t>
            </w:r>
          </w:p>
        </w:tc>
        <w:tc>
          <w:tcPr>
            <w:tcBorders>
              <w:top w:color="000000" w:space="0" w:sz="18" w:val="single"/>
              <w:bottom w:color="000000" w:space="0" w:sz="18" w:val="single"/>
              <w:right w:color="ffffff" w:space="0" w:sz="4" w:val="single"/>
            </w:tcBorders>
            <w:shd w:fill="auto" w:val="clear"/>
            <w:tcMar>
              <w:top w:w="144.0" w:type="dxa"/>
              <w:left w:w="144.0" w:type="dxa"/>
              <w:bottom w:w="144.0" w:type="dxa"/>
              <w:right w:w="144.0" w:type="dxa"/>
            </w:tcMar>
          </w:tcPr>
          <w:p w:rsidR="00000000" w:rsidDel="00000000" w:rsidP="00000000" w:rsidRDefault="00000000" w:rsidRPr="00000000" w14:paraId="0000001C">
            <w:pPr>
              <w:ind w:left="90" w:firstLine="0"/>
              <w:rPr>
                <w:b w:val="1"/>
                <w:color w:val="000000"/>
              </w:rPr>
            </w:pPr>
            <w:r w:rsidDel="00000000" w:rsidR="00000000" w:rsidRPr="00000000">
              <w:rPr>
                <w:b w:val="1"/>
                <w:color w:val="000000"/>
                <w:rtl w:val="0"/>
              </w:rPr>
              <w:t xml:space="preserve">Description</w:t>
            </w:r>
          </w:p>
        </w:tc>
      </w:tr>
      <w:tr>
        <w:trPr>
          <w:cantSplit w:val="0"/>
          <w:tblHeader w:val="0"/>
        </w:trPr>
        <w:tc>
          <w:tcPr>
            <w:tcBorders>
              <w:top w:color="000000" w:space="0" w:sz="18" w:val="single"/>
              <w:bottom w:color="000000" w:space="0" w:sz="4" w:val="single"/>
              <w:right w:color="000000" w:space="0" w:sz="4" w:val="single"/>
            </w:tcBorders>
            <w:shd w:fill="auto" w:val="clear"/>
            <w:tcMar>
              <w:top w:w="144.0" w:type="dxa"/>
              <w:left w:w="144.0" w:type="dxa"/>
              <w:bottom w:w="144.0" w:type="dxa"/>
              <w:right w:w="144.0" w:type="dxa"/>
            </w:tcMar>
          </w:tcPr>
          <w:p w:rsidR="00000000" w:rsidDel="00000000" w:rsidP="00000000" w:rsidRDefault="00000000" w:rsidRPr="00000000" w14:paraId="0000001D">
            <w:pPr>
              <w:pageBreakBefore w:val="0"/>
              <w:spacing w:before="120" w:lineRule="auto"/>
              <w:ind w:left="90" w:firstLine="0"/>
              <w:rPr>
                <w:b w:val="0"/>
                <w:color w:val="000000"/>
              </w:rPr>
            </w:pPr>
            <w:r w:rsidDel="00000000" w:rsidR="00000000" w:rsidRPr="00000000">
              <w:rPr>
                <w:b w:val="0"/>
                <w:color w:val="000000"/>
                <w:rtl w:val="0"/>
              </w:rPr>
              <w:t xml:space="preserve">Curriculum</w:t>
            </w:r>
          </w:p>
        </w:tc>
        <w:tc>
          <w:tcPr>
            <w:tcBorders>
              <w:top w:color="000000" w:space="0" w:sz="18" w:val="single"/>
              <w:left w:color="000000" w:space="0" w:sz="4" w:val="single"/>
              <w:bottom w:color="000000" w:space="0" w:sz="4" w:val="single"/>
            </w:tcBorders>
            <w:tcMar>
              <w:top w:w="144.0" w:type="dxa"/>
              <w:left w:w="144.0" w:type="dxa"/>
              <w:bottom w:w="144.0" w:type="dxa"/>
              <w:right w:w="144.0" w:type="dxa"/>
            </w:tcMar>
          </w:tcPr>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No multi-year curriculum</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No curriculum for future years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Please refer to the Educational Materials Policy for information about religious/sectarian material.</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Cambria" w:cs="Cambria" w:eastAsia="Cambria" w:hAnsi="Cambria"/>
                <w:b w:val="0"/>
                <w:i w:val="0"/>
                <w:smallCaps w:val="0"/>
                <w:strike w:val="0"/>
                <w:color w:val="000000"/>
                <w:shd w:fill="auto" w:val="clear"/>
                <w:vertAlign w:val="baseline"/>
              </w:rPr>
            </w:pPr>
            <w:r w:rsidDel="00000000" w:rsidR="00000000" w:rsidRPr="00000000">
              <w:rPr>
                <w:rFonts w:ascii="Cambria" w:cs="Cambria" w:eastAsia="Cambria" w:hAnsi="Cambria"/>
                <w:b w:val="0"/>
                <w:i w:val="0"/>
                <w:smallCaps w:val="0"/>
                <w:strike w:val="0"/>
                <w:color w:val="000000"/>
                <w:u w:val="none"/>
                <w:shd w:fill="auto" w:val="clear"/>
                <w:vertAlign w:val="baseline"/>
                <w:rtl w:val="0"/>
              </w:rPr>
              <w:t xml:space="preserve">No material that a student plans to resell, such as for a student created business</w:t>
            </w:r>
            <w:r w:rsidDel="00000000" w:rsidR="00000000" w:rsidRPr="00000000">
              <w:rPr>
                <w:rtl w:val="0"/>
              </w:rPr>
            </w:r>
          </w:p>
        </w:tc>
      </w:tr>
      <w:tr>
        <w:trPr>
          <w:cantSplit w:val="0"/>
          <w:tblHeader w:val="0"/>
        </w:trPr>
        <w:tc>
          <w:tcPr>
            <w:tcBorders>
              <w:top w:color="000000" w:space="0" w:sz="4" w:val="single"/>
              <w:bottom w:color="ffffff" w:space="0" w:sz="4" w:val="single"/>
              <w:right w:color="000000" w:space="0" w:sz="4" w:val="single"/>
            </w:tcBorders>
            <w:shd w:fill="auto" w:val="clear"/>
            <w:tcMar>
              <w:top w:w="144.0" w:type="dxa"/>
              <w:left w:w="144.0" w:type="dxa"/>
              <w:bottom w:w="144.0" w:type="dxa"/>
              <w:right w:w="144.0" w:type="dxa"/>
            </w:tcMar>
          </w:tcPr>
          <w:p w:rsidR="00000000" w:rsidDel="00000000" w:rsidP="00000000" w:rsidRDefault="00000000" w:rsidRPr="00000000" w14:paraId="00000022">
            <w:pPr>
              <w:pageBreakBefore w:val="0"/>
              <w:spacing w:before="120" w:lineRule="auto"/>
              <w:ind w:left="90" w:firstLine="0"/>
              <w:rPr>
                <w:b w:val="0"/>
                <w:color w:val="000000"/>
              </w:rPr>
            </w:pPr>
            <w:r w:rsidDel="00000000" w:rsidR="00000000" w:rsidRPr="00000000">
              <w:rPr>
                <w:b w:val="0"/>
                <w:color w:val="000000"/>
                <w:rtl w:val="0"/>
              </w:rPr>
              <w:t xml:space="preserve">Dangerous Material</w:t>
            </w:r>
            <w:r w:rsidDel="00000000" w:rsidR="00000000" w:rsidRPr="00000000">
              <w:rPr>
                <w:rtl w:val="0"/>
              </w:rPr>
            </w:r>
          </w:p>
        </w:tc>
        <w:tc>
          <w:tcPr>
            <w:tcBorders>
              <w:top w:color="000000" w:space="0" w:sz="4" w:val="single"/>
              <w:left w:color="000000" w:space="0" w:sz="4" w:val="single"/>
              <w:bottom w:color="ffffff" w:space="0" w:sz="4" w:val="single"/>
            </w:tcBorders>
            <w:tcMar>
              <w:top w:w="144.0" w:type="dxa"/>
              <w:left w:w="144.0" w:type="dxa"/>
              <w:bottom w:w="144.0" w:type="dxa"/>
              <w:right w:w="144.0" w:type="dxa"/>
            </w:tcMar>
          </w:tcPr>
          <w:p w:rsidR="00000000" w:rsidDel="00000000" w:rsidP="00000000" w:rsidRDefault="00000000" w:rsidRPr="00000000" w14:paraId="00000023">
            <w:pPr>
              <w:pageBreakBefore w:val="0"/>
              <w:numPr>
                <w:ilvl w:val="0"/>
                <w:numId w:val="7"/>
              </w:numPr>
              <w:spacing w:after="120" w:before="120" w:lineRule="auto"/>
              <w:ind w:left="360" w:hanging="360"/>
              <w:rPr>
                <w:color w:val="000000"/>
              </w:rPr>
            </w:pPr>
            <w:r w:rsidDel="00000000" w:rsidR="00000000" w:rsidRPr="00000000">
              <w:rPr>
                <w:color w:val="000000"/>
                <w:rtl w:val="0"/>
              </w:rPr>
              <w:t xml:space="preserve">No dangerous material of any kind including: chemicals, knives, and rocket engines</w:t>
            </w:r>
          </w:p>
        </w:tc>
      </w:tr>
      <w:tr>
        <w:trPr>
          <w:cantSplit w:val="0"/>
          <w:tblHeader w:val="0"/>
        </w:trPr>
        <w:tc>
          <w:tcPr>
            <w:tcBorders>
              <w:top w:color="000000" w:space="0" w:sz="4" w:val="single"/>
              <w:bottom w:color="000000" w:space="0" w:sz="4" w:val="single"/>
              <w:right w:color="000000" w:space="0" w:sz="4" w:val="single"/>
            </w:tcBorders>
            <w:shd w:fill="auto" w:val="clear"/>
            <w:tcMar>
              <w:top w:w="144.0" w:type="dxa"/>
              <w:left w:w="144.0" w:type="dxa"/>
              <w:bottom w:w="144.0" w:type="dxa"/>
              <w:right w:w="144.0" w:type="dxa"/>
            </w:tcMar>
          </w:tcPr>
          <w:p w:rsidR="00000000" w:rsidDel="00000000" w:rsidP="00000000" w:rsidRDefault="00000000" w:rsidRPr="00000000" w14:paraId="00000024">
            <w:pPr>
              <w:pageBreakBefore w:val="0"/>
              <w:spacing w:before="120" w:lineRule="auto"/>
              <w:ind w:left="90" w:firstLine="0"/>
              <w:rPr>
                <w:b w:val="0"/>
                <w:color w:val="000000"/>
              </w:rPr>
            </w:pPr>
            <w:r w:rsidDel="00000000" w:rsidR="00000000" w:rsidRPr="00000000">
              <w:rPr>
                <w:b w:val="0"/>
                <w:color w:val="000000"/>
                <w:rtl w:val="0"/>
              </w:rPr>
              <w:t xml:space="preserve">Furniture</w:t>
            </w:r>
          </w:p>
        </w:tc>
        <w:tc>
          <w:tcPr>
            <w:tcBorders>
              <w:top w:color="000000" w:space="0" w:sz="4" w:val="single"/>
              <w:left w:color="000000" w:space="0" w:sz="4" w:val="single"/>
              <w:bottom w:color="000000" w:space="0" w:sz="4" w:val="single"/>
            </w:tcBorders>
            <w:tcMar>
              <w:top w:w="144.0" w:type="dxa"/>
              <w:left w:w="144.0" w:type="dxa"/>
              <w:bottom w:w="144.0" w:type="dxa"/>
              <w:right w:w="144.0" w:type="dxa"/>
            </w:tcMar>
          </w:tcPr>
          <w:p w:rsidR="00000000" w:rsidDel="00000000" w:rsidP="00000000" w:rsidRDefault="00000000" w:rsidRPr="00000000" w14:paraId="00000025">
            <w:pPr>
              <w:pageBreakBefore w:val="0"/>
              <w:numPr>
                <w:ilvl w:val="0"/>
                <w:numId w:val="8"/>
              </w:numPr>
              <w:spacing w:after="120" w:before="120" w:lineRule="auto"/>
              <w:ind w:left="360" w:hanging="360"/>
              <w:rPr>
                <w:color w:val="000000"/>
                <w:u w:val="none"/>
              </w:rPr>
            </w:pPr>
            <w:bookmarkStart w:colFirst="0" w:colLast="0" w:name="_gjdgxs" w:id="0"/>
            <w:bookmarkEnd w:id="0"/>
            <w:r w:rsidDel="00000000" w:rsidR="00000000" w:rsidRPr="00000000">
              <w:rPr>
                <w:color w:val="000000"/>
                <w:rtl w:val="0"/>
              </w:rPr>
              <w:t xml:space="preserve">No furniture. For example: </w:t>
            </w:r>
            <w:r w:rsidDel="00000000" w:rsidR="00000000" w:rsidRPr="00000000">
              <w:rPr>
                <w:color w:val="000000"/>
                <w:rtl w:val="0"/>
              </w:rPr>
              <w:t xml:space="preserve">tables, </w:t>
            </w:r>
            <w:r w:rsidDel="00000000" w:rsidR="00000000" w:rsidRPr="00000000">
              <w:rPr>
                <w:color w:val="000000"/>
                <w:rtl w:val="0"/>
              </w:rPr>
              <w:t xml:space="preserve">easels, lamps, large white boards or music stands.</w:t>
            </w: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shd w:fill="auto" w:val="clear"/>
            <w:tcMar>
              <w:top w:w="144.0" w:type="dxa"/>
              <w:left w:w="144.0" w:type="dxa"/>
              <w:bottom w:w="144.0" w:type="dxa"/>
              <w:right w:w="144.0" w:type="dxa"/>
            </w:tcMar>
          </w:tcPr>
          <w:p w:rsidR="00000000" w:rsidDel="00000000" w:rsidP="00000000" w:rsidRDefault="00000000" w:rsidRPr="00000000" w14:paraId="00000026">
            <w:pPr>
              <w:pageBreakBefore w:val="0"/>
              <w:spacing w:before="120" w:lineRule="auto"/>
              <w:ind w:left="90" w:firstLine="0"/>
              <w:rPr>
                <w:b w:val="0"/>
                <w:color w:val="000000"/>
              </w:rPr>
            </w:pPr>
            <w:r w:rsidDel="00000000" w:rsidR="00000000" w:rsidRPr="00000000">
              <w:rPr>
                <w:b w:val="0"/>
                <w:color w:val="000000"/>
                <w:rtl w:val="0"/>
              </w:rPr>
              <w:t xml:space="preserve">Hard Assets</w:t>
            </w:r>
          </w:p>
        </w:tc>
        <w:tc>
          <w:tcPr>
            <w:tcBorders>
              <w:top w:color="000000" w:space="0" w:sz="4" w:val="single"/>
              <w:left w:color="000000" w:space="0" w:sz="4" w:val="single"/>
              <w:bottom w:color="000000" w:space="0" w:sz="4" w:val="single"/>
            </w:tcBorders>
            <w:tcMar>
              <w:top w:w="144.0" w:type="dxa"/>
              <w:left w:w="144.0" w:type="dxa"/>
              <w:bottom w:w="144.0" w:type="dxa"/>
              <w:right w:w="144.0" w:type="dxa"/>
            </w:tcMar>
          </w:tcPr>
          <w:p w:rsidR="00000000" w:rsidDel="00000000" w:rsidP="00000000" w:rsidRDefault="00000000" w:rsidRPr="00000000" w14:paraId="00000027">
            <w:pPr>
              <w:pageBreakBefore w:val="0"/>
              <w:numPr>
                <w:ilvl w:val="0"/>
                <w:numId w:val="4"/>
              </w:numPr>
              <w:spacing w:after="120" w:before="120" w:lineRule="auto"/>
              <w:ind w:left="360" w:hanging="360"/>
              <w:rPr>
                <w:color w:val="000000"/>
              </w:rPr>
            </w:pPr>
            <w:r w:rsidDel="00000000" w:rsidR="00000000" w:rsidRPr="00000000">
              <w:rPr>
                <w:color w:val="000000"/>
                <w:rtl w:val="0"/>
              </w:rPr>
              <w:t xml:space="preserve">No hard assets including: cameras, musical instruments, computers, printers, electronics, and potter’s wheels.</w:t>
            </w:r>
          </w:p>
          <w:p w:rsidR="00000000" w:rsidDel="00000000" w:rsidP="00000000" w:rsidRDefault="00000000" w:rsidRPr="00000000" w14:paraId="00000028">
            <w:pPr>
              <w:pageBreakBefore w:val="0"/>
              <w:numPr>
                <w:ilvl w:val="0"/>
                <w:numId w:val="4"/>
              </w:numPr>
              <w:spacing w:after="120" w:before="120" w:lineRule="auto"/>
              <w:ind w:left="360" w:hanging="360"/>
              <w:rPr>
                <w:color w:val="000000"/>
              </w:rPr>
            </w:pPr>
            <w:r w:rsidDel="00000000" w:rsidR="00000000" w:rsidRPr="00000000">
              <w:rPr>
                <w:color w:val="000000"/>
                <w:rtl w:val="0"/>
              </w:rPr>
              <w:t xml:space="preserve">JCS stocks calculators, microscopes, and globes. Currently out of stock items can be ordered. Ordered items must be what are normally stocked.</w:t>
            </w:r>
          </w:p>
        </w:tc>
      </w:tr>
      <w:tr>
        <w:trPr>
          <w:cantSplit w:val="0"/>
          <w:tblHeader w:val="0"/>
        </w:trPr>
        <w:tc>
          <w:tcPr>
            <w:tcBorders>
              <w:top w:color="000000" w:space="0" w:sz="4" w:val="single"/>
              <w:bottom w:color="000000" w:space="0" w:sz="4" w:val="single"/>
              <w:right w:color="000000" w:space="0" w:sz="4" w:val="single"/>
            </w:tcBorders>
            <w:shd w:fill="auto" w:val="clear"/>
            <w:tcMar>
              <w:top w:w="144.0" w:type="dxa"/>
              <w:left w:w="144.0" w:type="dxa"/>
              <w:bottom w:w="144.0" w:type="dxa"/>
              <w:right w:w="144.0" w:type="dxa"/>
            </w:tcMar>
          </w:tcPr>
          <w:p w:rsidR="00000000" w:rsidDel="00000000" w:rsidP="00000000" w:rsidRDefault="00000000" w:rsidRPr="00000000" w14:paraId="00000029">
            <w:pPr>
              <w:pageBreakBefore w:val="0"/>
              <w:spacing w:before="120" w:lineRule="auto"/>
              <w:ind w:left="0" w:firstLine="0"/>
              <w:rPr>
                <w:b w:val="0"/>
                <w:color w:val="000000"/>
              </w:rPr>
            </w:pPr>
            <w:r w:rsidDel="00000000" w:rsidR="00000000" w:rsidRPr="00000000">
              <w:rPr>
                <w:b w:val="0"/>
                <w:color w:val="000000"/>
                <w:rtl w:val="0"/>
              </w:rPr>
              <w:t xml:space="preserve">Toys</w:t>
            </w:r>
          </w:p>
        </w:tc>
        <w:tc>
          <w:tcPr>
            <w:tcBorders>
              <w:top w:color="000000" w:space="0" w:sz="4" w:val="single"/>
              <w:left w:color="000000" w:space="0" w:sz="4" w:val="single"/>
              <w:bottom w:color="000000" w:space="0" w:sz="4" w:val="single"/>
            </w:tcBorders>
            <w:tcMar>
              <w:top w:w="144.0" w:type="dxa"/>
              <w:left w:w="144.0" w:type="dxa"/>
              <w:bottom w:w="144.0" w:type="dxa"/>
              <w:right w:w="144.0" w:type="dxa"/>
            </w:tcMar>
          </w:tcPr>
          <w:p w:rsidR="00000000" w:rsidDel="00000000" w:rsidP="00000000" w:rsidRDefault="00000000" w:rsidRPr="00000000" w14:paraId="0000002A">
            <w:pPr>
              <w:pageBreakBefore w:val="0"/>
              <w:numPr>
                <w:ilvl w:val="0"/>
                <w:numId w:val="6"/>
              </w:numPr>
              <w:spacing w:after="120" w:before="120" w:lineRule="auto"/>
              <w:ind w:left="360" w:hanging="360"/>
              <w:rPr>
                <w:color w:val="000000"/>
                <w:u w:val="none"/>
              </w:rPr>
            </w:pPr>
            <w:r w:rsidDel="00000000" w:rsidR="00000000" w:rsidRPr="00000000">
              <w:rPr>
                <w:color w:val="000000"/>
                <w:rtl w:val="0"/>
              </w:rPr>
              <w:t xml:space="preserve">No toys, including Legos. </w:t>
            </w:r>
          </w:p>
        </w:tc>
      </w:tr>
    </w:tbl>
    <w:p w:rsidR="00000000" w:rsidDel="00000000" w:rsidP="00000000" w:rsidRDefault="00000000" w:rsidRPr="00000000" w14:paraId="0000002B">
      <w:pPr>
        <w:pageBreakBefore w:val="0"/>
        <w:ind w:left="0" w:firstLine="0"/>
        <w:rPr>
          <w:i w:val="1"/>
          <w:sz w:val="22"/>
          <w:szCs w:val="22"/>
        </w:rPr>
      </w:pPr>
      <w:r w:rsidDel="00000000" w:rsidR="00000000" w:rsidRPr="00000000">
        <w:rPr>
          <w:rtl w:val="0"/>
        </w:rPr>
      </w:r>
    </w:p>
    <w:p w:rsidR="00000000" w:rsidDel="00000000" w:rsidP="00000000" w:rsidRDefault="00000000" w:rsidRPr="00000000" w14:paraId="0000002C">
      <w:pPr>
        <w:pageBreakBefore w:val="0"/>
        <w:ind w:left="0" w:firstLine="0"/>
        <w:rPr>
          <w:i w:val="1"/>
          <w:sz w:val="22"/>
          <w:szCs w:val="22"/>
        </w:rPr>
      </w:pPr>
      <w:r w:rsidDel="00000000" w:rsidR="00000000" w:rsidRPr="00000000">
        <w:rPr>
          <w:rtl w:val="0"/>
        </w:rPr>
      </w:r>
    </w:p>
    <w:p w:rsidR="00000000" w:rsidDel="00000000" w:rsidP="00000000" w:rsidRDefault="00000000" w:rsidRPr="00000000" w14:paraId="0000002D">
      <w:pPr>
        <w:shd w:fill="ffffff" w:val="clear"/>
        <w:spacing w:line="331.2" w:lineRule="auto"/>
        <w:rPr>
          <w:u w:val="single"/>
        </w:rPr>
      </w:pPr>
      <w:r w:rsidDel="00000000" w:rsidR="00000000" w:rsidRPr="00000000">
        <w:rPr>
          <w:u w:val="single"/>
          <w:rtl w:val="0"/>
        </w:rPr>
        <w:t xml:space="preserve">EMR Consumable </w:t>
      </w:r>
    </w:p>
    <w:p w:rsidR="00000000" w:rsidDel="00000000" w:rsidP="00000000" w:rsidRDefault="00000000" w:rsidRPr="00000000" w14:paraId="0000002E">
      <w:pPr>
        <w:shd w:fill="ffffff" w:val="clear"/>
        <w:spacing w:line="331.2" w:lineRule="auto"/>
        <w:rPr/>
      </w:pPr>
      <w:r w:rsidDel="00000000" w:rsidR="00000000" w:rsidRPr="00000000">
        <w:rPr>
          <w:rtl w:val="0"/>
        </w:rPr>
        <w:t xml:space="preserve">Consumable items are designed for one-time use. Students “consume” (use up) a book or item by writing in its pages, or using up the supplies.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hd w:fill="ffffff" w:val="clear"/>
        <w:spacing w:line="331.2" w:lineRule="auto"/>
        <w:rPr/>
      </w:pPr>
      <w:r w:rsidDel="00000000" w:rsidR="00000000" w:rsidRPr="00000000">
        <w:rPr>
          <w:rtl w:val="0"/>
        </w:rPr>
        <w:t xml:space="preserve">Examples of Consumable</w:t>
      </w:r>
    </w:p>
    <w:p w:rsidR="00000000" w:rsidDel="00000000" w:rsidP="00000000" w:rsidRDefault="00000000" w:rsidRPr="00000000" w14:paraId="00000031">
      <w:pPr>
        <w:shd w:fill="ffffff" w:val="clear"/>
        <w:spacing w:line="331.2" w:lineRule="auto"/>
        <w:rPr/>
      </w:pPr>
      <w:r w:rsidDel="00000000" w:rsidR="00000000" w:rsidRPr="00000000">
        <w:rPr>
          <w:rtl w:val="0"/>
        </w:rPr>
        <w:t xml:space="preserve">Write in workbooks (except some math books where the equations can be worked out on a separate sheet of paper), planners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hd w:fill="ffffff" w:val="clear"/>
        <w:spacing w:line="331.2" w:lineRule="auto"/>
        <w:rPr/>
      </w:pPr>
      <w:r w:rsidDel="00000000" w:rsidR="00000000" w:rsidRPr="00000000">
        <w:rPr>
          <w:rtl w:val="0"/>
        </w:rPr>
        <w:t xml:space="preserve">Supplies: pen sets, paper, pencils, erasers, paints, paintbrushes, crayons, clay, pencil grips, glue, Play doh, craft supplies, canvases, goggles/face wear, posters, printer ink, spray cans, headphones, insect habitats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hd w:fill="ffffff" w:val="clear"/>
        <w:spacing w:line="331.2" w:lineRule="auto"/>
        <w:rPr/>
      </w:pPr>
      <w:r w:rsidDel="00000000" w:rsidR="00000000" w:rsidRPr="00000000">
        <w:rPr>
          <w:rtl w:val="0"/>
        </w:rPr>
        <w:t xml:space="preserve">Single use kits: Crochet, experiments, lab kits, painting, beading, gardening, ceramics or jewelry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shd w:fill="ffffff" w:val="clear"/>
        <w:spacing w:line="331.2" w:lineRule="auto"/>
        <w:rPr>
          <w:u w:val="single"/>
        </w:rPr>
      </w:pPr>
      <w:r w:rsidDel="00000000" w:rsidR="00000000" w:rsidRPr="00000000">
        <w:rPr>
          <w:u w:val="single"/>
          <w:rtl w:val="0"/>
        </w:rPr>
        <w:t xml:space="preserve">EMR Non-Consumable</w:t>
      </w:r>
    </w:p>
    <w:p w:rsidR="00000000" w:rsidDel="00000000" w:rsidP="00000000" w:rsidRDefault="00000000" w:rsidRPr="00000000" w14:paraId="00000038">
      <w:pPr>
        <w:shd w:fill="ffffff" w:val="clear"/>
        <w:spacing w:line="331.2" w:lineRule="auto"/>
        <w:rPr/>
      </w:pPr>
      <w:r w:rsidDel="00000000" w:rsidR="00000000" w:rsidRPr="00000000">
        <w:rPr>
          <w:rtl w:val="0"/>
        </w:rPr>
        <w:t xml:space="preserve">Non-Consumables are items that can be used again by another student. The items are returned to the Resource Center at the end of the school year, when they are done using them, or when the student leaves the school.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hd w:fill="ffffff" w:val="clear"/>
        <w:spacing w:line="331.2" w:lineRule="auto"/>
        <w:rPr/>
      </w:pPr>
      <w:r w:rsidDel="00000000" w:rsidR="00000000" w:rsidRPr="00000000">
        <w:rPr>
          <w:rtl w:val="0"/>
        </w:rPr>
        <w:t xml:space="preserve">Examples of Non-Consumable</w:t>
      </w:r>
    </w:p>
    <w:p w:rsidR="00000000" w:rsidDel="00000000" w:rsidP="00000000" w:rsidRDefault="00000000" w:rsidRPr="00000000" w14:paraId="0000003B">
      <w:pPr>
        <w:shd w:fill="ffffff" w:val="clear"/>
        <w:spacing w:line="331.2" w:lineRule="auto"/>
        <w:rPr/>
      </w:pPr>
      <w:r w:rsidDel="00000000" w:rsidR="00000000" w:rsidRPr="00000000">
        <w:rPr>
          <w:rtl w:val="0"/>
        </w:rPr>
        <w:t xml:space="preserve">Textbooks, CDs, DVDs, games, Novels, Picture books, Teacher Manuals, Chromebooks, flash cards, math manipulatives, clocks, wipe erase items, book sets, puzzles, microscopes, scales, calculators, sports equipment, crochet needles &amp; looms, tools, pencil sharpeners,  microscope prepared slides, power cords, play money, cash registers, musical instruments</w:t>
      </w:r>
    </w:p>
    <w:p w:rsidR="00000000" w:rsidDel="00000000" w:rsidP="00000000" w:rsidRDefault="00000000" w:rsidRPr="00000000" w14:paraId="0000003C">
      <w:pPr>
        <w:pageBreakBefore w:val="0"/>
        <w:ind w:left="0" w:firstLine="0"/>
        <w:rPr>
          <w:i w:val="1"/>
          <w:sz w:val="22"/>
          <w:szCs w:val="22"/>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Courier New"/>
  <w:font w:name="Gadget"/>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ageBreakBefore w:val="0"/>
      <w:ind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tabs>
        <w:tab w:val="center" w:leader="none" w:pos="4320"/>
        <w:tab w:val="right" w:leader="none" w:pos="8640"/>
      </w:tabs>
      <w:jc w:val="center"/>
      <w:rPr>
        <w:sz w:val="4"/>
        <w:szCs w:val="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276" w:lineRule="auto"/>
      <w:rPr>
        <w:rFonts w:ascii="Calibri" w:cs="Calibri" w:eastAsia="Calibri" w:hAnsi="Calibri"/>
        <w:sz w:val="4"/>
        <w:szCs w:val="4"/>
      </w:rPr>
    </w:pPr>
    <w:r w:rsidDel="00000000" w:rsidR="00000000" w:rsidRPr="00000000">
      <w:rPr>
        <w:rtl w:val="0"/>
      </w:rPr>
    </w:r>
  </w:p>
  <w:tbl>
    <w:tblPr>
      <w:tblStyle w:val="Table2"/>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8760"/>
      <w:tblGridChange w:id="0">
        <w:tblGrid>
          <w:gridCol w:w="2040"/>
          <w:gridCol w:w="87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0">
          <w:pPr>
            <w:spacing w:line="276" w:lineRule="auto"/>
            <w:jc w:val="center"/>
            <w:rPr>
              <w:rFonts w:ascii="Calibri" w:cs="Calibri" w:eastAsia="Calibri" w:hAnsi="Calibri"/>
            </w:rPr>
          </w:pPr>
          <w:r w:rsidDel="00000000" w:rsidR="00000000" w:rsidRPr="00000000">
            <w:rPr>
              <w:rFonts w:ascii="Open Sans" w:cs="Open Sans" w:eastAsia="Open Sans" w:hAnsi="Open Sans"/>
              <w:b w:val="1"/>
              <w:color w:val="0b5394"/>
              <w:sz w:val="28"/>
              <w:szCs w:val="28"/>
            </w:rPr>
            <w:drawing>
              <wp:inline distB="114300" distT="114300" distL="114300" distR="114300">
                <wp:extent cx="1004888" cy="800504"/>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4888" cy="800504"/>
                        </a:xfrm>
                        <a:prstGeom prst="rect"/>
                        <a:ln w="12700">
                          <a:solidFill>
                            <a:srgbClr val="999999"/>
                          </a:solidFill>
                          <a:prstDash val="solid"/>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41">
          <w:pPr>
            <w:spacing w:line="276" w:lineRule="auto"/>
            <w:rPr>
              <w:rFonts w:ascii="Open Sans" w:cs="Open Sans" w:eastAsia="Open Sans" w:hAnsi="Open Sans"/>
              <w:b w:val="1"/>
              <w:color w:val="0b5394"/>
              <w:sz w:val="28"/>
              <w:szCs w:val="28"/>
            </w:rPr>
          </w:pPr>
          <w:r w:rsidDel="00000000" w:rsidR="00000000" w:rsidRPr="00000000">
            <w:rPr>
              <w:rtl w:val="0"/>
            </w:rPr>
          </w:r>
        </w:p>
        <w:p w:rsidR="00000000" w:rsidDel="00000000" w:rsidP="00000000" w:rsidRDefault="00000000" w:rsidRPr="00000000" w14:paraId="00000042">
          <w:pPr>
            <w:spacing w:line="276" w:lineRule="auto"/>
            <w:ind w:left="450" w:hanging="270"/>
            <w:rPr>
              <w:rFonts w:ascii="Open Sans" w:cs="Open Sans" w:eastAsia="Open Sans" w:hAnsi="Open Sans"/>
              <w:b w:val="1"/>
              <w:sz w:val="26"/>
              <w:szCs w:val="26"/>
            </w:rPr>
          </w:pPr>
          <w:r w:rsidDel="00000000" w:rsidR="00000000" w:rsidRPr="00000000">
            <w:rPr>
              <w:rFonts w:ascii="Open Sans" w:cs="Open Sans" w:eastAsia="Open Sans" w:hAnsi="Open Sans"/>
              <w:b w:val="1"/>
              <w:color w:val="0b5394"/>
              <w:sz w:val="32"/>
              <w:szCs w:val="32"/>
              <w:rtl w:val="0"/>
            </w:rPr>
            <w:t xml:space="preserve">JCS EMR No Purchase Chart</w:t>
          </w:r>
          <w:r w:rsidDel="00000000" w:rsidR="00000000" w:rsidRPr="00000000">
            <w:rPr>
              <w:rtl w:val="0"/>
            </w:rPr>
          </w:r>
        </w:p>
      </w:tc>
    </w:tr>
  </w:tbl>
  <w:p w:rsidR="00000000" w:rsidDel="00000000" w:rsidP="00000000" w:rsidRDefault="00000000" w:rsidRPr="00000000" w14:paraId="00000043">
    <w:pPr>
      <w:spacing w:line="276" w:lineRule="auto"/>
      <w:rPr>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bottom w:color="000000" w:space="1" w:sz="4" w:val="single"/>
      </w:pBdr>
      <w:spacing w:after="60" w:before="240" w:lineRule="auto"/>
    </w:pPr>
    <w:rPr>
      <w:rFonts w:ascii="Gadget" w:cs="Gadget" w:eastAsia="Gadget" w:hAnsi="Gadget"/>
      <w:b w:val="1"/>
      <w:sz w:val="60"/>
      <w:szCs w:val="60"/>
    </w:rPr>
  </w:style>
  <w:style w:type="paragraph" w:styleId="Heading2">
    <w:name w:val="heading 2"/>
    <w:basedOn w:val="Normal"/>
    <w:next w:val="Normal"/>
    <w:pPr>
      <w:keepNext w:val="1"/>
      <w:pageBreakBefore w:val="0"/>
      <w:pBdr>
        <w:bottom w:color="000000" w:space="1" w:sz="18" w:val="single"/>
      </w:pBdr>
      <w:tabs>
        <w:tab w:val="left" w:leader="none" w:pos="5415"/>
      </w:tabs>
      <w:spacing w:after="120" w:before="360" w:lineRule="auto"/>
    </w:pPr>
    <w:rPr>
      <w:rFonts w:ascii="Arial" w:cs="Arial" w:eastAsia="Arial" w:hAnsi="Arial"/>
      <w:b w:val="1"/>
      <w:sz w:val="28"/>
      <w:szCs w:val="28"/>
    </w:rPr>
  </w:style>
  <w:style w:type="paragraph" w:styleId="Heading3">
    <w:name w:val="heading 3"/>
    <w:basedOn w:val="Normal"/>
    <w:next w:val="Normal"/>
    <w:pPr>
      <w:keepNext w:val="1"/>
      <w:pageBreakBefore w:val="0"/>
      <w:spacing w:after="60" w:before="240" w:lineRule="auto"/>
    </w:pPr>
    <w:rPr>
      <w:rFonts w:ascii="Arial" w:cs="Arial" w:eastAsia="Arial" w:hAnsi="Arial"/>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5f497a"/>
    </w:rPr>
    <w:tblPr>
      <w:tblStyleRowBandSize w:val="1"/>
      <w:tblStyleColBandSize w:val="1"/>
      <w:tblCellMar>
        <w:top w:w="0.0" w:type="dxa"/>
        <w:left w:w="108.0" w:type="dxa"/>
        <w:bottom w:w="0.0" w:type="dxa"/>
        <w:right w:w="108.0" w:type="dxa"/>
      </w:tblCellMar>
    </w:tblPr>
    <w:tblStylePr w:type="band1Horz">
      <w:tcPr>
        <w:shd w:fill="d8d8d8" w:val="clear"/>
      </w:tcPr>
    </w:tblStylePr>
    <w:tblStylePr w:type="band1Vert">
      <w:tcPr>
        <w:tcBorders>
          <w:left w:color="000000" w:space="0" w:sz="0" w:val="nil"/>
          <w:right w:color="000000" w:space="0" w:sz="0" w:val="nil"/>
          <w:insideH w:color="000000" w:space="0" w:sz="0" w:val="nil"/>
          <w:insideV w:color="000000" w:space="0" w:sz="0" w:val="nil"/>
        </w:tcBorders>
        <w:shd w:fill="d8d8d8" w:val="clear"/>
      </w:tcPr>
    </w:tblStylePr>
    <w:tblStylePr w:type="firstCol">
      <w:rPr>
        <w:b w:val="1"/>
        <w:color w:val="ffffff"/>
      </w:rPr>
      <w:tcPr>
        <w:tcBorders>
          <w:top w:color="000000" w:space="0" w:sz="0" w:val="nil"/>
          <w:left w:color="000000" w:space="0" w:sz="0" w:val="nil"/>
          <w:bottom w:color="000000" w:space="0" w:sz="18" w:val="single"/>
          <w:right w:color="000000" w:space="0" w:sz="0" w:val="nil"/>
          <w:insideH w:color="000000" w:space="0" w:sz="0" w:val="nil"/>
          <w:insideV w:color="000000" w:space="0" w:sz="0" w:val="nil"/>
        </w:tcBorders>
        <w:shd w:fill="000000" w:val="clear"/>
      </w:tcPr>
    </w:tblStylePr>
    <w:tblStylePr w:type="firstRow">
      <w:pPr>
        <w:spacing w:after="0" w:before="0" w:line="240" w:lineRule="auto"/>
      </w:pPr>
      <w:rPr>
        <w:b w:val="1"/>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shd w:fill="000000" w:val="clear"/>
      </w:tcPr>
    </w:tblStylePr>
    <w:tblStylePr w:type="lastCol">
      <w:rPr>
        <w:b w:val="1"/>
        <w:color w:val="ffffff"/>
      </w:rPr>
      <w:tcPr>
        <w:tcBorders>
          <w:left w:color="000000" w:space="0" w:sz="0" w:val="nil"/>
          <w:right w:color="000000" w:space="0" w:sz="0" w:val="nil"/>
          <w:insideH w:color="000000" w:space="0" w:sz="0" w:val="nil"/>
          <w:insideV w:color="000000" w:space="0" w:sz="0" w:val="nil"/>
        </w:tcBorders>
        <w:shd w:fill="000000" w:val="clear"/>
      </w:tcPr>
    </w:tblStylePr>
    <w:tblStylePr w:type="lastRow">
      <w:pPr>
        <w:spacing w:after="0" w:before="0" w:line="240" w:lineRule="auto"/>
      </w:pPr>
      <w:rPr>
        <w:color w:val="000000"/>
      </w:rPr>
      <w:tcPr>
        <w:tcBorders>
          <w:top w:color="000000" w:space="0" w:sz="6" w:val="single"/>
          <w:left w:color="000000" w:space="0" w:sz="0" w:val="nil"/>
          <w:bottom w:color="000000" w:space="0" w:sz="18" w:val="single"/>
          <w:right w:color="000000" w:space="0" w:sz="0" w:val="nil"/>
          <w:insideH w:color="000000" w:space="0" w:sz="0" w:val="nil"/>
          <w:insideV w:color="000000" w:space="0" w:sz="0" w:val="nil"/>
        </w:tcBorders>
        <w:shd w:fill="ffffff" w:val="clear"/>
      </w:tcPr>
    </w:tblStylePr>
    <w:tblStylePr w:type="neCell">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tblStylePr w:type="nwCell">
      <w:rPr>
        <w:color w:val="ffffff"/>
      </w:rPr>
      <w:tcPr>
        <w:tcBorders>
          <w:top w:color="000000" w:space="0" w:sz="18" w:val="single"/>
          <w:left w:color="000000" w:space="0" w:sz="0" w:val="nil"/>
          <w:bottom w:color="000000" w:space="0" w:sz="18" w:val="single"/>
          <w:right w:color="000000" w:space="0" w:sz="0" w:val="nil"/>
          <w:insideH w:color="000000" w:space="0" w:sz="0" w:val="nil"/>
          <w:insideV w:color="000000" w:space="0" w:sz="0" w:val="nil"/>
        </w:tcBorders>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