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Procedure:</w:t>
      </w:r>
    </w:p>
    <w:p w:rsidR="00000000" w:rsidDel="00000000" w:rsidP="00000000" w:rsidRDefault="00000000" w:rsidRPr="00000000" w14:paraId="00000003">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Upon a student's registration at the charter school, the Executive Director or designee shall provide the student's parents/guardians a written notice summarizing the state's immunization requirements.</w:t>
      </w:r>
      <w:r w:rsidDel="00000000" w:rsidR="00000000" w:rsidRPr="00000000">
        <w:rPr>
          <w:rtl w:val="0"/>
        </w:rPr>
      </w:r>
    </w:p>
    <w:p w:rsidR="00000000" w:rsidDel="00000000" w:rsidP="00000000" w:rsidRDefault="00000000" w:rsidRPr="00000000" w14:paraId="00000004">
      <w:pPr>
        <w:spacing w:before="1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The Executive Director shall not unconditionally admit any student to a school </w:t>
      </w:r>
      <w:r w:rsidDel="00000000" w:rsidR="00000000" w:rsidRPr="00000000">
        <w:rPr>
          <w:rFonts w:ascii="Times New Roman" w:cs="Times New Roman" w:eastAsia="Times New Roman" w:hAnsi="Times New Roman"/>
          <w:highlight w:val="white"/>
          <w:rtl w:val="0"/>
        </w:rPr>
        <w:t xml:space="preserve">for the first time nor admit or advance any student to grade 7</w:t>
      </w:r>
      <w:r w:rsidDel="00000000" w:rsidR="00000000" w:rsidRPr="00000000">
        <w:rPr>
          <w:rFonts w:ascii="Times New Roman" w:cs="Times New Roman" w:eastAsia="Times New Roman" w:hAnsi="Times New Roman"/>
          <w:rtl w:val="0"/>
        </w:rPr>
        <w:t xml:space="preserve"> unless that student has presented documentation of full immunization. </w:t>
      </w:r>
      <w:r w:rsidDel="00000000" w:rsidR="00000000" w:rsidRPr="00000000">
        <w:rPr>
          <w:rFonts w:ascii="Times New Roman" w:cs="Times New Roman" w:eastAsia="Times New Roman" w:hAnsi="Times New Roman"/>
          <w:highlight w:val="white"/>
          <w:rtl w:val="0"/>
        </w:rPr>
        <w:t xml:space="preserve">The student shall present documentation of full immunization, in accordance with the age/grade and dose required by the California Department of Public Health (CDPH), against the following diseases: </w:t>
      </w:r>
    </w:p>
    <w:p w:rsidR="00000000" w:rsidDel="00000000" w:rsidP="00000000" w:rsidRDefault="00000000" w:rsidRPr="00000000" w14:paraId="00000005">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 Measles, mumps, and rubella</w:t>
      </w:r>
    </w:p>
    <w:p w:rsidR="00000000" w:rsidDel="00000000" w:rsidP="00000000" w:rsidRDefault="00000000" w:rsidRPr="00000000" w14:paraId="00000006">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Diphtheria, tetanus, and pertussis (whooping cough)</w:t>
      </w:r>
    </w:p>
    <w:p w:rsidR="00000000" w:rsidDel="00000000" w:rsidP="00000000" w:rsidRDefault="00000000" w:rsidRPr="00000000" w14:paraId="00000007">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3. Poliomyelitis (polio)</w:t>
      </w:r>
    </w:p>
    <w:p w:rsidR="00000000" w:rsidDel="00000000" w:rsidP="00000000" w:rsidRDefault="00000000" w:rsidRPr="00000000" w14:paraId="00000008">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4. Hepatitis B</w:t>
      </w:r>
    </w:p>
    <w:p w:rsidR="00000000" w:rsidDel="00000000" w:rsidP="00000000" w:rsidRDefault="00000000" w:rsidRPr="00000000" w14:paraId="00000009">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5. Varicella (chickenpox)</w:t>
      </w:r>
    </w:p>
    <w:p w:rsidR="00000000" w:rsidDel="00000000" w:rsidP="00000000" w:rsidRDefault="00000000" w:rsidRPr="00000000" w14:paraId="0000000A">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6. Haemophilus influenza type b (Hib meningitis)</w:t>
      </w:r>
    </w:p>
    <w:p w:rsidR="00000000" w:rsidDel="00000000" w:rsidP="00000000" w:rsidRDefault="00000000" w:rsidRPr="00000000" w14:paraId="0000000B">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 Any other disease deemed appropriate by CDPH</w:t>
      </w:r>
    </w:p>
    <w:p w:rsidR="00000000" w:rsidDel="00000000" w:rsidP="00000000" w:rsidRDefault="00000000" w:rsidRPr="00000000" w14:paraId="0000000C">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However, full immunization against hepatitis B shall not be a condition by which the Executive Director or designee shall admit or advance any student to grade 7.</w:t>
      </w:r>
    </w:p>
    <w:p w:rsidR="00000000" w:rsidDel="00000000" w:rsidP="00000000" w:rsidRDefault="00000000" w:rsidRPr="00000000" w14:paraId="0000000D">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student who qualifies for an individualized education program (IEP), unless otherwise exempt, shall be fully immunized in accordance with Health and Safety Code </w:t>
      </w:r>
      <w:hyperlink r:id="rId6">
        <w:r w:rsidDel="00000000" w:rsidR="00000000" w:rsidRPr="00000000">
          <w:rPr>
            <w:rFonts w:ascii="Times New Roman" w:cs="Times New Roman" w:eastAsia="Times New Roman" w:hAnsi="Times New Roman"/>
            <w:color w:val="1155cc"/>
            <w:highlight w:val="white"/>
            <w:u w:val="single"/>
            <w:rtl w:val="0"/>
          </w:rPr>
          <w:t xml:space="preserve">120335</w:t>
        </w:r>
      </w:hyperlink>
      <w:r w:rsidDel="00000000" w:rsidR="00000000" w:rsidRPr="00000000">
        <w:rPr>
          <w:rFonts w:ascii="Times New Roman" w:cs="Times New Roman" w:eastAsia="Times New Roman" w:hAnsi="Times New Roman"/>
          <w:highlight w:val="white"/>
          <w:rtl w:val="0"/>
        </w:rPr>
        <w:t xml:space="preserve"> and this regulation. However, the district shall continue to implement the student's IEP and shall not prohibit the student from accessing any special education and related services required by the student's IEP regardless of whether the student is fully immunized. </w:t>
      </w:r>
    </w:p>
    <w:p w:rsidR="00000000" w:rsidDel="00000000" w:rsidP="00000000" w:rsidRDefault="00000000" w:rsidRPr="00000000" w14:paraId="0000000E">
      <w:pPr>
        <w:shd w:fill="ffffff" w:val="clear"/>
        <w:spacing w:after="220" w:before="22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School personnel shall record information for each student regarding all doses of required immunizations and the status of all requirements in accordance with 17 CCR </w:t>
      </w:r>
      <w:hyperlink r:id="rId7">
        <w:r w:rsidDel="00000000" w:rsidR="00000000" w:rsidRPr="00000000">
          <w:rPr>
            <w:rFonts w:ascii="Times New Roman" w:cs="Times New Roman" w:eastAsia="Times New Roman" w:hAnsi="Times New Roman"/>
            <w:color w:val="1155cc"/>
            <w:highlight w:val="white"/>
            <w:u w:val="single"/>
            <w:rtl w:val="0"/>
          </w:rPr>
          <w:t xml:space="preserve">6070</w:t>
        </w:r>
      </w:hyperlink>
      <w:r w:rsidDel="00000000" w:rsidR="00000000" w:rsidRPr="00000000">
        <w:rPr>
          <w:rFonts w:ascii="Times New Roman" w:cs="Times New Roman" w:eastAsia="Times New Roman" w:hAnsi="Times New Roman"/>
          <w:highlight w:val="white"/>
          <w:rtl w:val="0"/>
        </w:rPr>
        <w:t xml:space="preserve">. The school records shall be based on the student's immunization record provided by the student's health care provider, from the student's previous school immunization record, or through the California Immunization Registry (CAIR).</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Exemptions</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Exemption from immunization requirements is allowed when:</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0"/>
          <w:numId w:val="1"/>
        </w:numPr>
        <w:shd w:fill="ffffff" w:val="clear"/>
        <w:spacing w:after="220" w:before="22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A medical exemption is submitted using the standardized form developed by CDPH and transmitted using CAIR which includes, but is not limited to, a description of the medical basis for which the exemption for each individual immunization is sought and whether the medical exemption is permanent or temporary.</w:t>
      </w:r>
    </w:p>
    <w:p w:rsidR="00000000" w:rsidDel="00000000" w:rsidP="00000000" w:rsidRDefault="00000000" w:rsidRPr="00000000" w14:paraId="00000017">
      <w:pPr>
        <w:shd w:fill="ffffff" w:val="clear"/>
        <w:spacing w:after="220" w:before="220" w:lineRule="auto"/>
        <w:ind w:left="3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student who has a medical exemption issued prior to January 1, 2020 shall be allowed to continue enrollment until the next grade span, except that after July 1, 2021, a student may not be admitted or advanced to grade 7 unless the student has been immunized or a medical exemption form filed as stated above. </w:t>
      </w:r>
    </w:p>
    <w:p w:rsidR="00000000" w:rsidDel="00000000" w:rsidP="00000000" w:rsidRDefault="00000000" w:rsidRPr="00000000" w14:paraId="00000018">
      <w:pPr>
        <w:shd w:fill="ffffff" w:val="clear"/>
        <w:spacing w:after="220" w:before="220" w:lineRule="auto"/>
        <w:ind w:left="3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temporary exemption shall not exceed one year, and all medical exemptions shall not extend beyond the grade span. </w:t>
      </w:r>
    </w:p>
    <w:p w:rsidR="00000000" w:rsidDel="00000000" w:rsidP="00000000" w:rsidRDefault="00000000" w:rsidRPr="00000000" w14:paraId="00000019">
      <w:pPr>
        <w:shd w:fill="ffffff" w:val="clear"/>
        <w:spacing w:after="220" w:before="220" w:lineRule="auto"/>
        <w:ind w:left="3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student's medical exemption is revoked by CDPH on the basis that the exemption does not meet applicable criteria for medical exemptions, the student shall continue in attendance and, within 30 calendar days of the revocation, commence the immunization schedule required for conditional admittance pursuant to 17 CCR </w:t>
      </w:r>
      <w:hyperlink r:id="rId8">
        <w:r w:rsidDel="00000000" w:rsidR="00000000" w:rsidRPr="00000000">
          <w:rPr>
            <w:rFonts w:ascii="Times New Roman" w:cs="Times New Roman" w:eastAsia="Times New Roman" w:hAnsi="Times New Roman"/>
            <w:color w:val="1155cc"/>
            <w:sz w:val="22"/>
            <w:szCs w:val="22"/>
            <w:u w:val="single"/>
            <w:rtl w:val="0"/>
          </w:rPr>
          <w:t xml:space="preserve">6050</w:t>
        </w:r>
      </w:hyperlink>
      <w:r w:rsidDel="00000000" w:rsidR="00000000" w:rsidRPr="00000000">
        <w:rPr>
          <w:rFonts w:ascii="Times New Roman" w:cs="Times New Roman" w:eastAsia="Times New Roman" w:hAnsi="Times New Roman"/>
          <w:sz w:val="22"/>
          <w:szCs w:val="22"/>
          <w:rtl w:val="0"/>
        </w:rPr>
        <w:t xml:space="preserve">, as described below. </w:t>
      </w:r>
    </w:p>
    <w:p w:rsidR="00000000" w:rsidDel="00000000" w:rsidP="00000000" w:rsidRDefault="00000000" w:rsidRPr="00000000" w14:paraId="0000001A">
      <w:pPr>
        <w:shd w:fill="ffffff" w:val="clear"/>
        <w:spacing w:after="220" w:before="220" w:lineRule="auto"/>
        <w:ind w:left="3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student's parent/guardian may appeal a revocation to the Secretary of California Health and Human Services. If a revocation is appealed, the student shall continue in attendance and shall not be required to commence the immunization schedule required for conditional admittance provided the appeal is filed within 30 calendar days of the revocation. </w:t>
      </w:r>
    </w:p>
    <w:p w:rsidR="00000000" w:rsidDel="00000000" w:rsidP="00000000" w:rsidRDefault="00000000" w:rsidRPr="00000000" w14:paraId="0000001B">
      <w:pPr>
        <w:numPr>
          <w:ilvl w:val="0"/>
          <w:numId w:val="1"/>
        </w:numPr>
        <w:ind w:lef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2"/>
          <w:szCs w:val="22"/>
          <w:highlight w:val="white"/>
          <w:rtl w:val="0"/>
        </w:rPr>
        <w:t xml:space="preserve">The student's parent/guardian filed with the district, before January 1, 2016, a letter or written affidavit stating that an immunization is contrary to the student's personal beliefs, in which case the student shall be exempted from the immunization until the student enrolls in the next applicable grade span requiring immunization (birth to preschool, grades K-6, grades 7-12). </w:t>
      </w:r>
    </w:p>
    <w:p w:rsidR="00000000" w:rsidDel="00000000" w:rsidP="00000000" w:rsidRDefault="00000000" w:rsidRPr="00000000" w14:paraId="0000001C">
      <w:pPr>
        <w:ind w:left="360" w:firstLine="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D">
      <w:pPr>
        <w:ind w:left="360" w:firstLine="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When a student transfers to a different school within the district or transfers into the district from another school district in California, the student's personal beliefs exemption filed before January 1, 2016, shall remain in effect until the next applicable grade span. A student transferring from a school outside the district shall present a copy of the personal beliefs exemption upon enrollment. When a student transfers into the district from outside California and presents a personal beliefs exemption issued by another state or country prior to January 1, 2016, the Superintendent or designee may consult with legal counsel regarding the applicable immunization requirements.</w:t>
      </w:r>
    </w:p>
    <w:p w:rsidR="00000000" w:rsidDel="00000000" w:rsidP="00000000" w:rsidRDefault="00000000" w:rsidRPr="00000000" w14:paraId="0000001E">
      <w:pPr>
        <w:ind w:left="360" w:firstLine="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1F">
      <w:pPr>
        <w:numPr>
          <w:ilvl w:val="0"/>
          <w:numId w:val="1"/>
        </w:numPr>
        <w:ind w:left="360" w:hanging="360"/>
        <w:rPr>
          <w:rFonts w:ascii="Times New Roman" w:cs="Times New Roman" w:eastAsia="Times New Roman" w:hAnsi="Times New Roman"/>
          <w:sz w:val="22"/>
          <w:szCs w:val="22"/>
          <w:highlight w:val="white"/>
          <w:u w:val="none"/>
        </w:rPr>
      </w:pPr>
      <w:r w:rsidDel="00000000" w:rsidR="00000000" w:rsidRPr="00000000">
        <w:rPr>
          <w:rFonts w:ascii="Times New Roman" w:cs="Times New Roman" w:eastAsia="Times New Roman" w:hAnsi="Times New Roman"/>
          <w:sz w:val="22"/>
          <w:szCs w:val="22"/>
          <w:highlight w:val="white"/>
          <w:rtl w:val="0"/>
        </w:rPr>
        <w:t xml:space="preserve">The student is enrolled in an independent study program pursuant to Education Code </w:t>
      </w:r>
      <w:hyperlink r:id="rId9">
        <w:r w:rsidDel="00000000" w:rsidR="00000000" w:rsidRPr="00000000">
          <w:rPr>
            <w:rFonts w:ascii="Times New Roman" w:cs="Times New Roman" w:eastAsia="Times New Roman" w:hAnsi="Times New Roman"/>
            <w:color w:val="1155cc"/>
            <w:sz w:val="22"/>
            <w:szCs w:val="22"/>
            <w:highlight w:val="white"/>
            <w:u w:val="single"/>
            <w:rtl w:val="0"/>
          </w:rPr>
          <w:t xml:space="preserve">51745</w:t>
        </w:r>
      </w:hyperlink>
      <w:r w:rsidDel="00000000" w:rsidR="00000000" w:rsidRPr="00000000">
        <w:rPr>
          <w:rFonts w:ascii="Times New Roman" w:cs="Times New Roman" w:eastAsia="Times New Roman" w:hAnsi="Times New Roman"/>
          <w:sz w:val="22"/>
          <w:szCs w:val="22"/>
          <w:highlight w:val="white"/>
          <w:rtl w:val="0"/>
        </w:rPr>
        <w:t xml:space="preserve">-</w:t>
      </w:r>
      <w:hyperlink r:id="rId10">
        <w:r w:rsidDel="00000000" w:rsidR="00000000" w:rsidRPr="00000000">
          <w:rPr>
            <w:rFonts w:ascii="Times New Roman" w:cs="Times New Roman" w:eastAsia="Times New Roman" w:hAnsi="Times New Roman"/>
            <w:color w:val="1155cc"/>
            <w:sz w:val="22"/>
            <w:szCs w:val="22"/>
            <w:highlight w:val="white"/>
            <w:u w:val="single"/>
            <w:rtl w:val="0"/>
          </w:rPr>
          <w:t xml:space="preserve">51749.6</w:t>
        </w:r>
      </w:hyperlink>
      <w:r w:rsidDel="00000000" w:rsidR="00000000" w:rsidRPr="00000000">
        <w:rPr>
          <w:rFonts w:ascii="Times New Roman" w:cs="Times New Roman" w:eastAsia="Times New Roman" w:hAnsi="Times New Roman"/>
          <w:sz w:val="22"/>
          <w:szCs w:val="22"/>
          <w:highlight w:val="white"/>
          <w:rtl w:val="0"/>
        </w:rPr>
        <w:t xml:space="preserve"> and does not receive classroom-based instruction.</w:t>
      </w:r>
    </w:p>
    <w:p w:rsidR="00000000" w:rsidDel="00000000" w:rsidP="00000000" w:rsidRDefault="00000000" w:rsidRPr="00000000" w14:paraId="0000002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tabs>
          <w:tab w:val="left" w:leader="none" w:pos="18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tabs>
          <w:tab w:val="left" w:leader="none" w:pos="27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Conditional Enrollment</w:t>
      </w:r>
    </w:p>
    <w:p w:rsidR="00000000" w:rsidDel="00000000" w:rsidP="00000000" w:rsidRDefault="00000000" w:rsidRPr="00000000" w14:paraId="00000023">
      <w:pPr>
        <w:tabs>
          <w:tab w:val="left" w:leader="none" w:pos="27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tabs>
          <w:tab w:val="left" w:leader="none" w:pos="27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may conditionally admit a student with documentation from an authorized health care provider that the student has not received all the immunizations required for the student's age group, but has commenced receiving doses of all required vaccines and is not due for any other doses at the time of admission. The Executive Director or designee shall notify the student's parents/guardians of the date by which the student must complete all the remaining doses as specified in 17 CCR </w:t>
      </w:r>
      <w:hyperlink r:id="rId11">
        <w:r w:rsidDel="00000000" w:rsidR="00000000" w:rsidRPr="00000000">
          <w:rPr>
            <w:rFonts w:ascii="Times New Roman" w:cs="Times New Roman" w:eastAsia="Times New Roman" w:hAnsi="Times New Roman"/>
            <w:color w:val="1155cc"/>
            <w:sz w:val="22"/>
            <w:szCs w:val="22"/>
            <w:highlight w:val="white"/>
            <w:u w:val="single"/>
            <w:rtl w:val="0"/>
          </w:rPr>
          <w:t xml:space="preserve">6035</w:t>
        </w:r>
      </w:hyperlink>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25">
      <w:pPr>
        <w:tabs>
          <w:tab w:val="left" w:leader="none" w:pos="270"/>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6">
      <w:pPr>
        <w:shd w:fill="ffffff" w:val="clear"/>
        <w:tabs>
          <w:tab w:val="left" w:leader="none" w:pos="270"/>
        </w:tabs>
        <w:spacing w:after="220" w:before="2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In addition, a transfer student may be conditionally admitted for up to 30 school days while the student's immunization records are being transferred from the previous school. If such documentation is not presented within 30 days, the student shall be excluded from school until the required immunizations have been administered.</w:t>
      </w:r>
    </w:p>
    <w:p w:rsidR="00000000" w:rsidDel="00000000" w:rsidP="00000000" w:rsidRDefault="00000000" w:rsidRPr="00000000" w14:paraId="00000027">
      <w:pPr>
        <w:shd w:fill="ffffff" w:val="clear"/>
        <w:tabs>
          <w:tab w:val="left" w:leader="none" w:pos="270"/>
        </w:tabs>
        <w:spacing w:after="220" w:before="220" w:lineRule="auto"/>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shall immediately enroll homeless students, foster youth, and students of military families even if their immunization records are missing or unavailable at the time of enrollment. School or district staff shall work with the student's prior school to obtain the student's immunization records or shall ensure that the student is properly immunized.</w:t>
      </w:r>
    </w:p>
    <w:p w:rsidR="00000000" w:rsidDel="00000000" w:rsidP="00000000" w:rsidRDefault="00000000" w:rsidRPr="00000000" w14:paraId="00000028">
      <w:pPr>
        <w:tabs>
          <w:tab w:val="left" w:leader="none" w:pos="270"/>
        </w:tabs>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Executive Director or designee shall review the immunization record of each student admitted conditionally every 30 days until that student has received all the required immunizations. If the student does not receive the required immunizations within the specified time limits, the student shall be excluded from further attendance until the immunizations are received. </w:t>
      </w:r>
    </w:p>
    <w:p w:rsidR="00000000" w:rsidDel="00000000" w:rsidP="00000000" w:rsidRDefault="00000000" w:rsidRPr="00000000" w14:paraId="00000029">
      <w:pPr>
        <w:tabs>
          <w:tab w:val="left" w:leader="none" w:pos="270"/>
        </w:tabs>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2A">
      <w:pPr>
        <w:tabs>
          <w:tab w:val="left" w:leader="none" w:pos="27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Exclusions Due to Lack of Immunizations</w:t>
      </w:r>
    </w:p>
    <w:p w:rsidR="00000000" w:rsidDel="00000000" w:rsidP="00000000" w:rsidRDefault="00000000" w:rsidRPr="00000000" w14:paraId="0000002B">
      <w:pPr>
        <w:tabs>
          <w:tab w:val="left" w:leader="none" w:pos="270"/>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highlight w:val="white"/>
          <w:rtl w:val="0"/>
        </w:rPr>
        <w:t xml:space="preserve">If an enrolled student who was previously believed to be in compliance with immunization requirements is subsequently discovered to not be in compliance with requirements for unconditional or conditional admission, </w:t>
      </w:r>
      <w:r w:rsidDel="00000000" w:rsidR="00000000" w:rsidRPr="00000000">
        <w:rPr>
          <w:rFonts w:ascii="Times New Roman" w:cs="Times New Roman" w:eastAsia="Times New Roman" w:hAnsi="Times New Roman"/>
          <w:rtl w:val="0"/>
        </w:rPr>
        <w:t xml:space="preserve">the Executive Director or designee shall notify the parent/guardian that he/she has ten school days in which to supply evidence of proper immunization or an appropriate letter of exemption. This notice shall refer the parent/guardian to the child’s usual source of medical care. If no usual source of medical care exists, the parent/guardian shall be referred to the county health department.</w:t>
      </w:r>
    </w:p>
    <w:p w:rsidR="00000000" w:rsidDel="00000000" w:rsidP="00000000" w:rsidRDefault="00000000" w:rsidRPr="00000000" w14:paraId="0000002C">
      <w:pPr>
        <w:tabs>
          <w:tab w:val="left" w:leader="none" w:pos="27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tabs>
          <w:tab w:val="left" w:leader="none" w:pos="2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shall exclude from further attendance any student who fails to obtain the required immunization within ten school days following receipt of the parent/guardian notice specified above, unless the student is exempt from immunization for medical reasons. The student shall remain excluded from school until he/she has received another dose of each required vaccine due at that time. The student shall also be reported to the registrar, Executive Director, and/or designee.</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ind w:right="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Exclusion Due to Exposure to Disease</w:t>
      </w:r>
      <w:r w:rsidDel="00000000" w:rsidR="00000000" w:rsidRPr="00000000">
        <w:rPr>
          <w:rtl w:val="0"/>
        </w:rPr>
      </w:r>
    </w:p>
    <w:p w:rsidR="00000000" w:rsidDel="00000000" w:rsidP="00000000" w:rsidRDefault="00000000" w:rsidRPr="00000000" w14:paraId="00000030">
      <w:pPr>
        <w:ind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ind w:right="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If the charter school has good cause to believe that a student has been exposed to a disease listed in the section "Required Immunizations" above and the student's documentation of immunization does not show proof of immunization against that disease, that student may be temporarily excluded from the school until the local health officer is satisfied that the student is no longer at risk of developing or transmitting the disease.</w:t>
      </w:r>
    </w:p>
    <w:p w:rsidR="00000000" w:rsidDel="00000000" w:rsidP="00000000" w:rsidRDefault="00000000" w:rsidRPr="00000000" w14:paraId="00000032">
      <w:pPr>
        <w:ind w:right="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33">
      <w:pPr>
        <w:ind w:right="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Records</w:t>
      </w:r>
    </w:p>
    <w:p w:rsidR="00000000" w:rsidDel="00000000" w:rsidP="00000000" w:rsidRDefault="00000000" w:rsidRPr="00000000" w14:paraId="00000034">
      <w:pPr>
        <w:ind w:right="0"/>
        <w:rPr>
          <w:rFonts w:ascii="Times New Roman" w:cs="Times New Roman" w:eastAsia="Times New Roman" w:hAnsi="Times New Roman"/>
          <w:b w:val="1"/>
          <w:sz w:val="22"/>
          <w:szCs w:val="22"/>
          <w:highlight w:val="white"/>
        </w:rPr>
      </w:pPr>
      <w:r w:rsidDel="00000000" w:rsidR="00000000" w:rsidRPr="00000000">
        <w:rPr>
          <w:rtl w:val="0"/>
        </w:rPr>
      </w:r>
    </w:p>
    <w:p w:rsidR="00000000" w:rsidDel="00000000" w:rsidP="00000000" w:rsidRDefault="00000000" w:rsidRPr="00000000" w14:paraId="00000035">
      <w:pPr>
        <w:ind w:right="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Each student's immunization record shall be retained as part of the student's mandatory permanent student record. Charter school staff shall maintain the confidentiality of immunization records and may disclose such information to state and local health departments only in accordance with law.</w:t>
      </w:r>
    </w:p>
    <w:p w:rsidR="00000000" w:rsidDel="00000000" w:rsidP="00000000" w:rsidRDefault="00000000" w:rsidRPr="00000000" w14:paraId="00000036">
      <w:pPr>
        <w:ind w:right="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37">
      <w:pPr>
        <w:shd w:fill="ffffff" w:val="clear"/>
        <w:spacing w:after="220" w:before="220" w:lineRule="auto"/>
        <w:ind w:right="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The charter school shall also retain in the mandatory student record any physician or health officer statement, personal beliefs letter or affidavit, reason for conditional enrollment, or any other documentation related to the student's immunization record or exemptions.</w:t>
      </w:r>
    </w:p>
    <w:p w:rsidR="00000000" w:rsidDel="00000000" w:rsidP="00000000" w:rsidRDefault="00000000" w:rsidRPr="00000000" w14:paraId="00000038">
      <w:pPr>
        <w:ind w:right="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At least annually, the Executive Director or designee shall file a written report on the immunization status of new students with CDPH and the local department of public health on forms prescribed by CDPH.</w:t>
      </w:r>
    </w:p>
    <w:p w:rsidR="00000000" w:rsidDel="00000000" w:rsidP="00000000" w:rsidRDefault="00000000" w:rsidRPr="00000000" w14:paraId="00000039">
      <w:pPr>
        <w:ind w:right="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3A">
      <w:pPr>
        <w:ind w:right="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Audits</w:t>
      </w:r>
      <w:r w:rsidDel="00000000" w:rsidR="00000000" w:rsidRPr="00000000">
        <w:rPr>
          <w:rtl w:val="0"/>
        </w:rPr>
      </w:r>
    </w:p>
    <w:p w:rsidR="00000000" w:rsidDel="00000000" w:rsidP="00000000" w:rsidRDefault="00000000" w:rsidRPr="00000000" w14:paraId="0000003B">
      <w:pPr>
        <w:ind w:right="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3C">
      <w:pPr>
        <w:ind w:right="0"/>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If an audit reveals deficiencies in the district's reporting procedures, the Executive Director or designee shall present the Board with a plan to remedy such deficiencies.</w:t>
      </w:r>
    </w:p>
    <w:p w:rsidR="00000000" w:rsidDel="00000000" w:rsidP="00000000" w:rsidRDefault="00000000" w:rsidRPr="00000000" w14:paraId="0000003D">
      <w:pPr>
        <w:ind w:right="0"/>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3E">
      <w:pPr>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Original Procedure: 02/27/2001</w:t>
      </w:r>
    </w:p>
    <w:p w:rsidR="00000000" w:rsidDel="00000000" w:rsidP="00000000" w:rsidRDefault="00000000" w:rsidRPr="00000000" w14:paraId="0000003F">
      <w:pPr>
        <w:ind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Procedure: 06/08/2007</w:t>
      </w:r>
    </w:p>
    <w:p w:rsidR="00000000" w:rsidDel="00000000" w:rsidP="00000000" w:rsidRDefault="00000000" w:rsidRPr="00000000" w14:paraId="00000040">
      <w:pPr>
        <w:ind w:right="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Revised Procedure: 06/07/2019</w:t>
      </w:r>
    </w:p>
    <w:p w:rsidR="00000000" w:rsidDel="00000000" w:rsidP="00000000" w:rsidRDefault="00000000" w:rsidRPr="00000000" w14:paraId="00000041">
      <w:pPr>
        <w:ind w:right="0"/>
        <w:rPr>
          <w:rFonts w:ascii="Times New Roman" w:cs="Times New Roman" w:eastAsia="Times New Roman" w:hAnsi="Times New Roman"/>
        </w:rPr>
      </w:pPr>
      <w:bookmarkStart w:colFirst="0" w:colLast="0" w:name="_68ty4p88ade1" w:id="1"/>
      <w:bookmarkEnd w:id="1"/>
      <w:r w:rsidDel="00000000" w:rsidR="00000000" w:rsidRPr="00000000">
        <w:rPr>
          <w:rFonts w:ascii="Times New Roman" w:cs="Times New Roman" w:eastAsia="Times New Roman" w:hAnsi="Times New Roman"/>
          <w:rtl w:val="0"/>
        </w:rPr>
        <w:t xml:space="preserve">Revised Procedure: 03/10/2023</w:t>
      </w:r>
    </w:p>
    <w:p w:rsidR="00000000" w:rsidDel="00000000" w:rsidP="00000000" w:rsidRDefault="00000000" w:rsidRPr="00000000" w14:paraId="00000042">
      <w:pPr>
        <w:ind w:right="0"/>
        <w:rPr>
          <w:rFonts w:ascii="Times New Roman" w:cs="Times New Roman" w:eastAsia="Times New Roman" w:hAnsi="Times New Roman"/>
        </w:rPr>
      </w:pPr>
      <w:bookmarkStart w:colFirst="0" w:colLast="0" w:name="_i40vwd3jac7z" w:id="2"/>
      <w:bookmarkEnd w:id="2"/>
      <w:r w:rsidDel="00000000" w:rsidR="00000000" w:rsidRPr="00000000">
        <w:rPr>
          <w:rtl w:val="0"/>
        </w:rPr>
      </w:r>
    </w:p>
    <w:p w:rsidR="00000000" w:rsidDel="00000000" w:rsidP="00000000" w:rsidRDefault="00000000" w:rsidRPr="00000000" w14:paraId="00000043">
      <w:pPr>
        <w:ind w:right="0"/>
        <w:rPr>
          <w:rFonts w:ascii="Times New Roman" w:cs="Times New Roman" w:eastAsia="Times New Roman" w:hAnsi="Times New Roman"/>
        </w:rPr>
      </w:pPr>
      <w:bookmarkStart w:colFirst="0" w:colLast="0" w:name="_9dui9e5oeqse" w:id="3"/>
      <w:bookmarkEnd w:id="3"/>
      <w:hyperlink r:id="rId12">
        <w:r w:rsidDel="00000000" w:rsidR="00000000" w:rsidRPr="00000000">
          <w:rPr>
            <w:rFonts w:ascii="Times New Roman" w:cs="Times New Roman" w:eastAsia="Times New Roman" w:hAnsi="Times New Roman"/>
            <w:color w:val="1155cc"/>
            <w:u w:val="single"/>
            <w:rtl w:val="0"/>
          </w:rPr>
          <w:t xml:space="preserve">Link to 5002.1 Immunizations Policy</w:t>
        </w:r>
      </w:hyperlink>
      <w:r w:rsidDel="00000000" w:rsidR="00000000" w:rsidRPr="00000000">
        <w:rPr>
          <w:rtl w:val="0"/>
        </w:rPr>
      </w:r>
    </w:p>
    <w:p w:rsidR="00000000" w:rsidDel="00000000" w:rsidP="00000000" w:rsidRDefault="00000000" w:rsidRPr="00000000" w14:paraId="00000044">
      <w:pPr>
        <w:ind w:right="0"/>
        <w:rPr>
          <w:rFonts w:ascii="Times New Roman" w:cs="Times New Roman" w:eastAsia="Times New Roman" w:hAnsi="Times New Roman"/>
        </w:rPr>
      </w:pPr>
      <w:bookmarkStart w:colFirst="0" w:colLast="0" w:name="_hgjsla9ifp75" w:id="4"/>
      <w:bookmarkEnd w:id="4"/>
      <w:hyperlink r:id="rId13">
        <w:r w:rsidDel="00000000" w:rsidR="00000000" w:rsidRPr="00000000">
          <w:rPr>
            <w:rFonts w:ascii="Times New Roman" w:cs="Times New Roman" w:eastAsia="Times New Roman" w:hAnsi="Times New Roman"/>
            <w:color w:val="1155cc"/>
            <w:u w:val="single"/>
            <w:rtl w:val="0"/>
          </w:rPr>
          <w:t xml:space="preserve">Link to 5002.3 Immunizations for Grades TK-12 (Job Aide)</w:t>
        </w:r>
      </w:hyperlink>
      <w:r w:rsidDel="00000000" w:rsidR="00000000" w:rsidRPr="00000000">
        <w:rPr>
          <w:rtl w:val="0"/>
        </w:rPr>
      </w:r>
    </w:p>
    <w:sectPr>
      <w:headerReference r:id="rId14" w:type="first"/>
      <w:footerReference r:id="rId15" w:type="default"/>
      <w:footerReference r:id="rId16" w:type="first"/>
      <w:footerReference r:id="rId17"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5002.2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w:t>
    </w:r>
    <w:r w:rsidDel="00000000" w:rsidR="00000000" w:rsidRPr="00000000">
      <w:rPr>
        <w:sz w:val="22"/>
        <w:szCs w:val="22"/>
        <w:rtl w:val="0"/>
      </w:rPr>
      <w:t xml:space="preserve">Immunization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Admin Regs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5002.2 JCS, Inc. Immunization Admin Regs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sz w:val="22"/>
        <w:szCs w:val="22"/>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46">
          <w:pPr>
            <w:rPr>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7">
          <w:pPr>
            <w:pageBreakBefore w:val="0"/>
            <w:widowControl w:val="0"/>
            <w:ind w:left="0" w:firstLine="0"/>
            <w:rPr>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8">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5002.2 Immunizations Administrative Regulations</w:t>
                </w:r>
              </w:p>
              <w:p w:rsidR="00000000" w:rsidDel="00000000" w:rsidP="00000000" w:rsidRDefault="00000000" w:rsidRPr="00000000" w14:paraId="00000049">
                <w:pPr>
                  <w:pageBreakBefore w:val="0"/>
                  <w:widowControl w:val="0"/>
                  <w:rPr>
                    <w:rFonts w:ascii="Times New Roman" w:cs="Times New Roman" w:eastAsia="Times New Roman" w:hAnsi="Times New Roman"/>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B">
                <w:pPr>
                  <w:pageBreakBefore w:val="0"/>
                  <w:widowControl w:val="0"/>
                  <w:rPr>
                    <w:rFonts w:ascii="Times New Roman" w:cs="Times New Roman" w:eastAsia="Times New Roman" w:hAnsi="Times New Roman"/>
                    <w:b w:val="1"/>
                    <w:color w:val="1e4d78"/>
                    <w:sz w:val="28"/>
                    <w:szCs w:val="28"/>
                  </w:rPr>
                </w:pPr>
                <w:r w:rsidDel="00000000" w:rsidR="00000000" w:rsidRPr="00000000">
                  <w:rPr>
                    <w:rFonts w:ascii="Times New Roman" w:cs="Times New Roman" w:eastAsia="Times New Roman" w:hAnsi="Times New Roman"/>
                    <w:b w:val="1"/>
                    <w:color w:val="1e4d78"/>
                    <w:sz w:val="28"/>
                    <w:szCs w:val="28"/>
                    <w:rtl w:val="0"/>
                  </w:rPr>
                  <w:t xml:space="preserve">Effective Date: March 10, 2023</w:t>
                </w:r>
              </w:p>
            </w:tc>
          </w:tr>
        </w:tbl>
        <w:p w:rsidR="00000000" w:rsidDel="00000000" w:rsidP="00000000" w:rsidRDefault="00000000" w:rsidRPr="00000000" w14:paraId="0000004D">
          <w:pPr>
            <w:pageBreakBefore w:val="0"/>
            <w:widowControl w:val="0"/>
            <w:ind w:left="90" w:firstLine="0"/>
            <w:rPr>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E">
          <w:pPr>
            <w:pageBreakBefore w:val="0"/>
            <w:rPr>
              <w:rFonts w:ascii="Arial" w:cs="Arial" w:eastAsia="Arial" w:hAnsi="Arial"/>
              <w:b w:val="1"/>
              <w:color w:val="434343"/>
              <w:sz w:val="22"/>
              <w:szCs w:val="22"/>
            </w:rPr>
          </w:pPr>
          <w:r w:rsidDel="00000000" w:rsidR="00000000" w:rsidRPr="00000000">
            <w:rPr>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4F">
          <w:pPr>
            <w:pageBreakBefore w:val="0"/>
            <w:widowControl w:val="0"/>
            <w:spacing w:after="0" w:before="0" w:line="240" w:lineRule="auto"/>
            <w:ind w:left="0" w:firstLine="0"/>
            <w:rPr>
              <w:b w:val="1"/>
              <w:color w:val="434343"/>
              <w:sz w:val="16"/>
              <w:szCs w:val="16"/>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gamutonline.net/displayPolicy/368366/5" TargetMode="External"/><Relationship Id="rId10" Type="http://schemas.openxmlformats.org/officeDocument/2006/relationships/hyperlink" Target="http://gamutonline.net/displayPolicy/1006794/5" TargetMode="External"/><Relationship Id="rId13" Type="http://schemas.openxmlformats.org/officeDocument/2006/relationships/hyperlink" Target="https://docs.google.com/document/d/1_yzZaossW638iAzcFungwWTd2IhOl5yzXy_W7hbWipw/edit?usp=sharing" TargetMode="External"/><Relationship Id="rId12" Type="http://schemas.openxmlformats.org/officeDocument/2006/relationships/hyperlink" Target="https://docs.google.com/document/d/1O7K1bHDLvZIsI-TQatfrE4OGdF7b98IVYZW-mSjcgfk/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gamutonline.net/displayPolicy/137989/5" TargetMode="External"/><Relationship Id="rId15" Type="http://schemas.openxmlformats.org/officeDocument/2006/relationships/footer" Target="foot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gamutonline.net/displayPolicy/150209/5" TargetMode="External"/><Relationship Id="rId7" Type="http://schemas.openxmlformats.org/officeDocument/2006/relationships/hyperlink" Target="http://gamutonline.net/displayPolicy/368354/5" TargetMode="External"/><Relationship Id="rId8" Type="http://schemas.openxmlformats.org/officeDocument/2006/relationships/hyperlink" Target="http://gamutonline.net/displayPolicy/36834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