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Policy: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the Board’s policy to provide for the accurate and consistent communication of employment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opportunities to internal candidates (current employees), former employees subject to a callback list, if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any, and external candidates.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Job openings will be posted on EDJOIN and normally remain open for 30 days or until filled. Each job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posting notice will include the dates of the posting period, job title, department, location, grade level,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salary range, job summary, essential duties, and qualifications (required skills and abilities).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Original Policy 02/27/01</w:t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Revised Policy  06/08/07</w:t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Revised Policy 09/08/17</w:t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bookmarkStart w:colFirst="0" w:colLast="0" w:name="_76l81zccfi5n" w:id="1"/>
      <w:bookmarkEnd w:id="1"/>
      <w:r w:rsidDel="00000000" w:rsidR="00000000" w:rsidRPr="00000000">
        <w:rPr>
          <w:sz w:val="24"/>
          <w:szCs w:val="24"/>
          <w:rtl w:val="0"/>
        </w:rPr>
        <w:t xml:space="preserve">Revised Policy 10/28/2022</w:t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680"/>
      </w:tabs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80161. 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JCS, Inc. Job Posting Policy</w:t>
      <w:tab/>
      <w:tab/>
      <w:tab/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of 1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10"/>
      <w:gridCol w:w="9090"/>
      <w:tblGridChange w:id="0">
        <w:tblGrid>
          <w:gridCol w:w="1710"/>
          <w:gridCol w:w="9090"/>
        </w:tblGrid>
      </w:tblGridChange>
    </w:tblGrid>
    <w:tr>
      <w:trPr>
        <w:cantSplit w:val="0"/>
        <w:trHeight w:val="19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25">
          <w:pPr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rPr>
              <w:rFonts w:ascii="Calibri" w:cs="Calibri" w:eastAsia="Calibri" w:hAnsi="Calibri"/>
              <w:b w:val="1"/>
              <w:color w:val="073763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73763"/>
              <w:sz w:val="22"/>
              <w:szCs w:val="22"/>
              <w:rtl w:val="0"/>
            </w:rPr>
            <w:t xml:space="preserve">JCS-Inc. Policies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27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92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4"/>
            <w:gridCol w:w="4464"/>
            <w:tblGridChange w:id="0">
              <w:tblGrid>
                <w:gridCol w:w="4464"/>
                <w:gridCol w:w="446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8016.1 Job Posting Policy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Effective Date: January 1, 2023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073763"/>
                    <w:sz w:val="28"/>
                    <w:szCs w:val="28"/>
                    <w:rtl w:val="0"/>
                  </w:rPr>
                  <w:t xml:space="preserve">Approved by: Board of Directors</w:t>
                </w:r>
              </w:p>
            </w:tc>
          </w:tr>
        </w:tbl>
        <w:p w:rsidR="00000000" w:rsidDel="00000000" w:rsidP="00000000" w:rsidRDefault="00000000" w:rsidRPr="00000000" w14:paraId="0000002D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