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rPr>
          <w:b w:val="1"/>
          <w:color w:val="404040"/>
          <w:sz w:val="24"/>
          <w:szCs w:val="24"/>
          <w:highlight w:val="white"/>
        </w:rPr>
      </w:pPr>
      <w:r w:rsidDel="00000000" w:rsidR="00000000" w:rsidRPr="00000000">
        <w:rPr>
          <w:b w:val="1"/>
          <w:color w:val="404040"/>
          <w:sz w:val="24"/>
          <w:szCs w:val="24"/>
          <w:highlight w:val="white"/>
          <w:rtl w:val="0"/>
        </w:rPr>
        <w:t xml:space="preserve">IXL </w:t>
      </w:r>
      <w:r w:rsidDel="00000000" w:rsidR="00000000" w:rsidRPr="00000000">
        <w:rPr>
          <w:b w:val="1"/>
          <w:color w:val="404040"/>
          <w:sz w:val="24"/>
          <w:szCs w:val="24"/>
          <w:highlight w:val="white"/>
          <w:rtl w:val="0"/>
        </w:rPr>
        <w:t xml:space="preserve">Description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color w:val="404040"/>
          <w:sz w:val="20"/>
          <w:szCs w:val="20"/>
          <w:highlight w:val="white"/>
        </w:rPr>
      </w:pPr>
      <w:r w:rsidDel="00000000" w:rsidR="00000000" w:rsidRPr="00000000">
        <w:rPr>
          <w:color w:val="404040"/>
          <w:sz w:val="20"/>
          <w:szCs w:val="20"/>
          <w:highlight w:val="white"/>
          <w:rtl w:val="0"/>
        </w:rPr>
        <w:t xml:space="preserve">IXL provides comprehensive, standards-aligned math and language arts practice for K–12. Students can have a math license, a language arts license or both.</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b w:val="1"/>
          <w:color w:val="404040"/>
          <w:sz w:val="24"/>
          <w:szCs w:val="24"/>
          <w:highlight w:val="white"/>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color w:val="404040"/>
          <w:sz w:val="24"/>
          <w:szCs w:val="24"/>
          <w:highlight w:val="white"/>
        </w:rPr>
      </w:pPr>
      <w:r w:rsidDel="00000000" w:rsidR="00000000" w:rsidRPr="00000000">
        <w:rPr>
          <w:b w:val="1"/>
          <w:color w:val="404040"/>
          <w:sz w:val="24"/>
          <w:szCs w:val="24"/>
          <w:highlight w:val="white"/>
          <w:rtl w:val="0"/>
        </w:rPr>
        <w:t xml:space="preserve">Math</w:t>
      </w:r>
      <w:r w:rsidDel="00000000" w:rsidR="00000000" w:rsidRPr="00000000">
        <w:rPr>
          <w:color w:val="404040"/>
          <w:sz w:val="24"/>
          <w:szCs w:val="24"/>
          <w:highlight w:val="white"/>
          <w:rtl w:val="0"/>
        </w:rPr>
        <w:t xml:space="preserve"> </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color w:val="404040"/>
          <w:sz w:val="20"/>
          <w:szCs w:val="20"/>
          <w:highlight w:val="white"/>
        </w:rPr>
      </w:pPr>
      <w:r w:rsidDel="00000000" w:rsidR="00000000" w:rsidRPr="00000000">
        <w:rPr>
          <w:color w:val="404040"/>
          <w:sz w:val="20"/>
          <w:szCs w:val="20"/>
          <w:highlight w:val="white"/>
          <w:rtl w:val="0"/>
        </w:rPr>
        <w:t xml:space="preserve">From arithmetic to algebra, fractions to measurement, IXL offers the most complete math coverage on the Web. On IXL, students get a special kind of motivation from knowing that math is </w:t>
      </w:r>
      <w:r w:rsidDel="00000000" w:rsidR="00000000" w:rsidRPr="00000000">
        <w:rPr>
          <w:i w:val="1"/>
          <w:color w:val="404040"/>
          <w:sz w:val="20"/>
          <w:szCs w:val="20"/>
          <w:highlight w:val="white"/>
          <w:rtl w:val="0"/>
        </w:rPr>
        <w:t xml:space="preserve">useful</w:t>
      </w:r>
      <w:r w:rsidDel="00000000" w:rsidR="00000000" w:rsidRPr="00000000">
        <w:rPr>
          <w:color w:val="404040"/>
          <w:sz w:val="20"/>
          <w:szCs w:val="20"/>
          <w:highlight w:val="white"/>
          <w:rtl w:val="0"/>
        </w:rPr>
        <w:t xml:space="preserve">. The program is infused at every level with real-world math problems. IXL's math problems make students think, make them see how math really does fit into the every day. From bargain-shopping to navigation, from telling time to making predictions, your students will love getting to apply their math skills to real-life scenarios.</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color w:val="404040"/>
          <w:sz w:val="20"/>
          <w:szCs w:val="20"/>
          <w:highlight w:val="white"/>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color w:val="404040"/>
          <w:sz w:val="20"/>
          <w:szCs w:val="20"/>
          <w:highlight w:val="white"/>
        </w:rPr>
      </w:pPr>
      <w:r w:rsidDel="00000000" w:rsidR="00000000" w:rsidRPr="00000000">
        <w:rPr>
          <w:b w:val="1"/>
          <w:color w:val="404040"/>
          <w:sz w:val="24"/>
          <w:szCs w:val="24"/>
          <w:highlight w:val="white"/>
          <w:rtl w:val="0"/>
        </w:rPr>
        <w:t xml:space="preserve">Language Arts</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color w:val="404040"/>
          <w:sz w:val="20"/>
          <w:szCs w:val="20"/>
          <w:highlight w:val="white"/>
        </w:rPr>
      </w:pPr>
      <w:r w:rsidDel="00000000" w:rsidR="00000000" w:rsidRPr="00000000">
        <w:rPr>
          <w:color w:val="404040"/>
          <w:sz w:val="20"/>
          <w:szCs w:val="20"/>
          <w:highlight w:val="white"/>
          <w:rtl w:val="0"/>
        </w:rPr>
        <w:t xml:space="preserve">IXL language arts offers a variety of interactive question types designed to capture students' attention. Students' abilities will soar as they interact with engaging texts, correct grammatical errors, and decode new words in a variety of contexts. IXL's questions adapt to students' abilities, becoming easier if they're struggling and harder if they're excelling. This creates an encouraging learning environment where they can take things at their own pace, but where they still feel challenged to do their best.</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color w:val="404040"/>
          <w:sz w:val="20"/>
          <w:szCs w:val="20"/>
          <w:highlight w:val="white"/>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color w:val="404040"/>
          <w:sz w:val="20"/>
          <w:szCs w:val="20"/>
          <w:highlight w:val="white"/>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color w:val="404040"/>
          <w:sz w:val="24"/>
          <w:szCs w:val="24"/>
          <w:highlight w:val="white"/>
        </w:rPr>
      </w:pPr>
      <w:r w:rsidDel="00000000" w:rsidR="00000000" w:rsidRPr="00000000">
        <w:rPr>
          <w:b w:val="1"/>
          <w:color w:val="404040"/>
          <w:sz w:val="24"/>
          <w:szCs w:val="24"/>
          <w:highlight w:val="white"/>
          <w:rtl w:val="0"/>
        </w:rPr>
        <w:t xml:space="preserve">Student/Parent Instructions: </w:t>
      </w:r>
      <w:hyperlink r:id="rId6">
        <w:r w:rsidDel="00000000" w:rsidR="00000000" w:rsidRPr="00000000">
          <w:rPr>
            <w:color w:val="1155cc"/>
            <w:sz w:val="24"/>
            <w:szCs w:val="24"/>
            <w:highlight w:val="white"/>
            <w:u w:val="single"/>
            <w:rtl w:val="0"/>
          </w:rPr>
          <w:t xml:space="preserve">https://goo.gl/Jb2ZVq</w:t>
        </w:r>
      </w:hyperlink>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color w:val="404040"/>
          <w:sz w:val="24"/>
          <w:szCs w:val="24"/>
          <w:highlight w:val="white"/>
        </w:rPr>
      </w:pPr>
      <w:r w:rsidDel="00000000" w:rsidR="00000000" w:rsidRPr="00000000">
        <w:rPr>
          <w:rtl w:val="0"/>
        </w:rPr>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color w:val="404040"/>
          <w:sz w:val="24"/>
          <w:szCs w:val="24"/>
          <w:highlight w:val="white"/>
        </w:rPr>
      </w:pPr>
      <w:r w:rsidDel="00000000" w:rsidR="00000000" w:rsidRPr="00000000">
        <w:rPr>
          <w:b w:val="1"/>
          <w:color w:val="404040"/>
          <w:sz w:val="24"/>
          <w:szCs w:val="24"/>
          <w:highlight w:val="white"/>
          <w:rtl w:val="0"/>
        </w:rPr>
        <w:t xml:space="preserve">Teacher Instructions:</w:t>
      </w:r>
      <w:r w:rsidDel="00000000" w:rsidR="00000000" w:rsidRPr="00000000">
        <w:rPr>
          <w:color w:val="404040"/>
          <w:sz w:val="24"/>
          <w:szCs w:val="24"/>
          <w:highlight w:val="white"/>
          <w:rtl w:val="0"/>
        </w:rPr>
        <w:t xml:space="preserve"> </w:t>
      </w:r>
      <w:hyperlink r:id="rId7">
        <w:r w:rsidDel="00000000" w:rsidR="00000000" w:rsidRPr="00000000">
          <w:rPr>
            <w:color w:val="1155cc"/>
            <w:sz w:val="24"/>
            <w:szCs w:val="24"/>
            <w:highlight w:val="white"/>
            <w:u w:val="single"/>
            <w:rtl w:val="0"/>
          </w:rPr>
          <w:t xml:space="preserve">http://goo.gl/7fMXt7</w:t>
        </w:r>
      </w:hyperlink>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goo.gl/Jb2ZVq" TargetMode="External"/><Relationship Id="rId7" Type="http://schemas.openxmlformats.org/officeDocument/2006/relationships/hyperlink" Target="http://goo.gl/7fMXt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