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2">
      <w:pPr>
        <w:pageBreakBefore w:val="0"/>
        <w:rPr>
          <w:rFonts w:ascii="Arial" w:cs="Arial" w:eastAsia="Arial" w:hAnsi="Arial"/>
          <w:b w:val="1"/>
          <w:sz w:val="28"/>
          <w:szCs w:val="28"/>
        </w:rPr>
      </w:pPr>
      <w:r w:rsidDel="00000000" w:rsidR="00000000" w:rsidRPr="00000000">
        <w:rPr>
          <w:rFonts w:ascii="Times New Roman" w:cs="Times New Roman" w:eastAsia="Times New Roman" w:hAnsi="Times New Roman"/>
          <w:b w:val="1"/>
          <w:sz w:val="32"/>
          <w:szCs w:val="32"/>
          <w:u w:val="single"/>
          <w:rtl w:val="0"/>
        </w:rPr>
        <w:t xml:space="preserve">Procedure: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Director or designee will identify other school-sponsored awards that may be given during graduation exercises. A separate awards program may be held to recognize graduating students receiving other school and non-school awards.</w:t>
      </w:r>
    </w:p>
    <w:p w:rsidR="00000000" w:rsidDel="00000000" w:rsidP="00000000" w:rsidRDefault="00000000" w:rsidRPr="00000000" w14:paraId="00000004">
      <w:pPr>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participating in a graduation ceremony will comply with school policies and regulations pertaining to student conduct.</w:t>
      </w:r>
    </w:p>
    <w:p w:rsidR="00000000" w:rsidDel="00000000" w:rsidP="00000000" w:rsidRDefault="00000000" w:rsidRPr="00000000" w14:paraId="00000006">
      <w:pPr>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Director or designee may require graduating students to wear ceremonial attire, such as cap and gown, at the ceremony. However, any graduating student who has completed basic training and is an active member of any branch of the United States Armed Forces may, at his/her option, wear his/her military dress uniform at the ceremony.</w:t>
      </w:r>
    </w:p>
    <w:p w:rsidR="00000000" w:rsidDel="00000000" w:rsidP="00000000" w:rsidRDefault="00000000" w:rsidRPr="00000000" w14:paraId="00000008">
      <w:pPr>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encourage high standards of student conduct and behavior, the Executive Director may deny a student the privilege of participating in graduation ceremonies and/or activities in accordance with the Student Discipline, Suspension, and Expulsion Policy. Prior to denial of the privilege, the student, and where practicable his/her parent/guardian, will be made aware of the grounds for such denial and will be given an opportunity to respond. If a privilege is to be denied, the student and parent/guardian will receive written notice of the denied privilege and the means whereby he/she may appeal the decision. </w:t>
      </w:r>
    </w:p>
    <w:p w:rsidR="00000000" w:rsidDel="00000000" w:rsidP="00000000" w:rsidRDefault="00000000" w:rsidRPr="00000000" w14:paraId="0000000A">
      <w:pPr>
        <w:ind w:firstLine="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B">
      <w:pPr>
        <w:ind w:firstLine="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C">
      <w:pPr>
        <w:ind w:firstLine="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D">
      <w:pPr>
        <w:ind w:firstLine="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E">
      <w:pPr>
        <w:ind w:firstLine="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F">
      <w:pPr>
        <w:ind w:firstLine="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1">
      <w:pPr>
        <w:ind w:firstLine="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2">
      <w:pPr>
        <w:ind w:firstLine="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3">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Procedure: 03/06/2014</w:t>
      </w:r>
    </w:p>
    <w:p w:rsidR="00000000" w:rsidDel="00000000" w:rsidP="00000000" w:rsidRDefault="00000000" w:rsidRPr="00000000" w14:paraId="00000014">
      <w:pPr>
        <w:ind w:firstLine="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Revised Procedure: 06/05/2020</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5043.2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w:t>
    </w:r>
    <w:r w:rsidDel="00000000" w:rsidR="00000000" w:rsidRPr="00000000">
      <w:rPr>
        <w:sz w:val="22"/>
        <w:szCs w:val="22"/>
        <w:rtl w:val="0"/>
      </w:rPr>
      <w:t xml:space="preserve">Graduation and Ceremony Activities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Admin Regs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sz w:val="22"/>
        <w:szCs w:val="22"/>
        <w:rtl w:val="0"/>
      </w:rPr>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 ____ JCS, Inc. ___ Procedure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3</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17">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18">
          <w:pPr>
            <w:pageBreakBefore w:val="0"/>
            <w:widowControl w:val="0"/>
            <w:ind w:left="0" w:firstLine="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widowControl w:val="0"/>
                  <w:rPr>
                    <w:rFonts w:ascii="Times New Roman" w:cs="Times New Roman" w:eastAsia="Times New Roman" w:hAnsi="Times New Roman"/>
                    <w:b w:val="1"/>
                    <w:color w:val="1e4d78"/>
                    <w:sz w:val="26"/>
                    <w:szCs w:val="26"/>
                  </w:rPr>
                </w:pPr>
                <w:r w:rsidDel="00000000" w:rsidR="00000000" w:rsidRPr="00000000">
                  <w:rPr>
                    <w:rFonts w:ascii="Times New Roman" w:cs="Times New Roman" w:eastAsia="Times New Roman" w:hAnsi="Times New Roman"/>
                    <w:b w:val="1"/>
                    <w:color w:val="1e4d78"/>
                    <w:sz w:val="26"/>
                    <w:szCs w:val="26"/>
                    <w:rtl w:val="0"/>
                  </w:rPr>
                  <w:t xml:space="preserve">5043.2 Graduation and Ceremony Activities Administrative Regulations</w:t>
                </w:r>
              </w:p>
              <w:p w:rsidR="00000000" w:rsidDel="00000000" w:rsidP="00000000" w:rsidRDefault="00000000" w:rsidRPr="00000000" w14:paraId="0000001A">
                <w:pPr>
                  <w:pageBreakBefore w:val="0"/>
                  <w:widowControl w:val="0"/>
                  <w:rPr>
                    <w:rFonts w:ascii="Times New Roman" w:cs="Times New Roman" w:eastAsia="Times New Roman" w:hAnsi="Times New Roman"/>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June 5, 2020</w:t>
                </w:r>
              </w:p>
            </w:tc>
          </w:tr>
        </w:tbl>
        <w:p w:rsidR="00000000" w:rsidDel="00000000" w:rsidP="00000000" w:rsidRDefault="00000000" w:rsidRPr="00000000" w14:paraId="0000001E">
          <w:pPr>
            <w:pageBreakBefore w:val="0"/>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F">
          <w:pPr>
            <w:pageBreakBefore w:val="0"/>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0">
          <w:pPr>
            <w:pageBreakBefore w:val="0"/>
            <w:widowControl w:val="0"/>
            <w:spacing w:after="0" w:before="0" w:line="240" w:lineRule="auto"/>
            <w:ind w:left="0" w:firstLine="0"/>
            <w:rPr>
              <w:b w:val="1"/>
              <w:color w:val="434343"/>
              <w:sz w:val="16"/>
              <w:szCs w:val="16"/>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