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ind w:left="0" w:firstLine="0"/>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ageBreakBefore w:val="0"/>
        <w:ind w:left="270" w:firstLine="0"/>
        <w:rPr>
          <w:rFonts w:ascii="Times New Roman" w:cs="Times New Roman" w:eastAsia="Times New Roman" w:hAnsi="Times New Roman"/>
          <w:b w:val="1"/>
          <w:sz w:val="16"/>
          <w:szCs w:val="16"/>
          <w:u w:val="single"/>
        </w:rPr>
      </w:pPr>
      <w:r w:rsidDel="00000000" w:rsidR="00000000" w:rsidRPr="00000000">
        <w:rPr>
          <w:rtl w:val="0"/>
        </w:rPr>
      </w:r>
    </w:p>
    <w:p w:rsidR="00000000" w:rsidDel="00000000" w:rsidP="00000000" w:rsidRDefault="00000000" w:rsidRPr="00000000" w14:paraId="00000003">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 and Scope</w:t>
      </w:r>
    </w:p>
    <w:p w:rsidR="00000000" w:rsidDel="00000000" w:rsidP="00000000" w:rsidRDefault="00000000" w:rsidRPr="00000000" w14:paraId="00000004">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purpose of this Policy is to establish standard procedures for capitalizing fixed assets to facilitate the identification, reporting, and safeguarding of RSCS assets in compliance with generally accepted financial reporting requirements.</w:t>
      </w: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Asset Value</w:t>
      </w:r>
    </w:p>
    <w:p w:rsidR="00000000" w:rsidDel="00000000" w:rsidP="00000000" w:rsidRDefault="00000000" w:rsidRPr="00000000" w14:paraId="00000006">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 assets are valued at their historical cost. In the absence of historical cost information, the asset’s estimated historical cost will be used. Donated assets are reported at fair market value on the date the asset is donated.</w:t>
      </w: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Capitalization Threshold</w:t>
      </w:r>
    </w:p>
    <w:p w:rsidR="00000000" w:rsidDel="00000000" w:rsidP="00000000" w:rsidRDefault="00000000" w:rsidRPr="00000000" w14:paraId="00000008">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The School will capitalize all individual assets with a cost of $5,000 or more and that have an estimated useful life of three years or more.</w:t>
      </w: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Grouped or Networked Assets</w:t>
      </w:r>
    </w:p>
    <w:p w:rsidR="00000000" w:rsidDel="00000000" w:rsidP="00000000" w:rsidRDefault="00000000" w:rsidRPr="00000000" w14:paraId="0000000B">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IT/Technology equipment acquisition and leasehold facility improvements are considered “system assets” that operate as part of a network system (in the case of IT) or as part of an aggregate installation (in the case of leasehold improvements). Such IT acquisition and leasehold improvement costs are capitalized at costs of $2,000 or more. A network is determined to be where individual components may be below normal capitalization thresholds but are interdependent and the overriding value to </w:t>
      </w:r>
      <w:r w:rsidDel="00000000" w:rsidR="00000000" w:rsidRPr="00000000">
        <w:rPr>
          <w:rFonts w:ascii="Times New Roman" w:cs="Times New Roman" w:eastAsia="Times New Roman" w:hAnsi="Times New Roman"/>
          <w:sz w:val="24"/>
          <w:szCs w:val="24"/>
          <w:rtl w:val="0"/>
        </w:rPr>
        <w:t xml:space="preserve">JCS, Inc.</w:t>
      </w:r>
      <w:r w:rsidDel="00000000" w:rsidR="00000000" w:rsidRPr="00000000">
        <w:rPr>
          <w:rFonts w:ascii="Times New Roman" w:cs="Times New Roman" w:eastAsia="Times New Roman" w:hAnsi="Times New Roman"/>
          <w:sz w:val="24"/>
          <w:szCs w:val="24"/>
          <w:rtl w:val="0"/>
        </w:rPr>
        <w:t xml:space="preserve"> is on the entire network/facility and not the individual component assets.</w:t>
      </w:r>
      <w:r w:rsidDel="00000000" w:rsidR="00000000" w:rsidRPr="00000000">
        <w:rPr>
          <w:rtl w:val="0"/>
        </w:rPr>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Depreciation Method</w:t>
      </w:r>
    </w:p>
    <w:p w:rsidR="00000000" w:rsidDel="00000000" w:rsidP="00000000" w:rsidRDefault="00000000" w:rsidRPr="00000000" w14:paraId="0000000E">
      <w:pPr>
        <w:pageBreakBefore w:val="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24"/>
          <w:szCs w:val="24"/>
          <w:rtl w:val="0"/>
        </w:rPr>
        <w:t xml:space="preserve">Capitalized assets are depreciated using the straight-line method.</w:t>
      </w:r>
      <w:r w:rsidDel="00000000" w:rsidR="00000000" w:rsidRPr="00000000">
        <w:rPr>
          <w:rtl w:val="0"/>
        </w:rPr>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spacing w:after="1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Estimated Useful Lives</w:t>
      </w:r>
    </w:p>
    <w:p w:rsidR="00000000" w:rsidDel="00000000" w:rsidP="00000000" w:rsidRDefault="00000000" w:rsidRPr="00000000" w14:paraId="00000011">
      <w:pPr>
        <w:pageBreakBefore w:val="0"/>
        <w:ind w:left="36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The following guidelines are used in setting estimated useful lives for asset reporting:</w:t>
      </w:r>
      <w:r w:rsidDel="00000000" w:rsidR="00000000" w:rsidRPr="00000000">
        <w:rPr>
          <w:rtl w:val="0"/>
        </w:rPr>
      </w:r>
    </w:p>
    <w:p w:rsidR="00000000" w:rsidDel="00000000" w:rsidP="00000000" w:rsidRDefault="00000000" w:rsidRPr="00000000" w14:paraId="0000001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Leasehold Improvements 10-20 years</w:t>
      </w:r>
    </w:p>
    <w:p w:rsidR="00000000" w:rsidDel="00000000" w:rsidP="00000000" w:rsidRDefault="00000000" w:rsidRPr="00000000" w14:paraId="00000013">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Vehicles 5-10 years</w:t>
      </w:r>
    </w:p>
    <w:p w:rsidR="00000000" w:rsidDel="00000000" w:rsidP="00000000" w:rsidRDefault="00000000" w:rsidRPr="00000000" w14:paraId="00000014">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IT/Technology Equipment 3-5 years</w:t>
      </w:r>
    </w:p>
    <w:p w:rsidR="00000000" w:rsidDel="00000000" w:rsidP="00000000" w:rsidRDefault="00000000" w:rsidRPr="00000000" w14:paraId="00000015">
      <w:pPr>
        <w:pageBreakBefore w:val="0"/>
        <w:ind w:left="27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6">
      <w:pPr>
        <w:pageBreakBefore w:val="0"/>
        <w:ind w:left="0" w:firstLine="0"/>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17">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Original Policy 06/07/19</w:t>
      </w:r>
    </w:p>
    <w:p w:rsidR="00000000" w:rsidDel="00000000" w:rsidP="00000000" w:rsidRDefault="00000000" w:rsidRPr="00000000" w14:paraId="00000018">
      <w:pPr>
        <w:pageBreakBefore w:val="0"/>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Revised Policy 06/05/2020</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720" w:footer="431.9999999999999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ind w:left="0" w:firstLine="0"/>
      <w:jc w:val="left"/>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ab/>
    </w:r>
    <w:r w:rsidDel="00000000" w:rsidR="00000000" w:rsidRPr="00000000">
      <w:rPr>
        <w:rtl w:val="0"/>
      </w:rPr>
      <w:tab/>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1</w:t>
      <w:tab/>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ageBreakBefore w:val="0"/>
      <w:jc w:val="right"/>
      <w:rPr>
        <w:rFonts w:ascii="Calibri" w:cs="Calibri" w:eastAsia="Calibri" w:hAnsi="Calibri"/>
      </w:rPr>
    </w:pPr>
    <w:r w:rsidDel="00000000" w:rsidR="00000000" w:rsidRPr="00000000">
      <w:rPr>
        <w:rFonts w:ascii="Calibri" w:cs="Calibri" w:eastAsia="Calibri" w:hAnsi="Calibri"/>
        <w:rtl w:val="0"/>
      </w:rPr>
      <w:t xml:space="preserve">4011.1 JCS, Inc. Fixed and Capitalization Policy</w:t>
      <w:tab/>
      <w:tab/>
      <w:tab/>
      <w:tab/>
      <w:tab/>
      <w:tab/>
      <w:tab/>
      <w:tab/>
      <w:t xml:space="preserve">Page 1 of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spacing w:line="240" w:lineRule="auto"/>
      <w:rPr>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spacing w:line="240" w:lineRule="auto"/>
            <w:rPr>
              <w:b w:val="1"/>
            </w:rPr>
          </w:pPr>
          <w:r w:rsidDel="00000000" w:rsidR="00000000" w:rsidRPr="00000000">
            <w:rPr>
              <w:b w:val="1"/>
            </w:rPr>
            <w:drawing>
              <wp:inline distB="114300" distT="114300" distL="114300" distR="114300">
                <wp:extent cx="938213" cy="805447"/>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ageBreakBefore w:val="0"/>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w:t>
                </w:r>
              </w:p>
              <w:p w:rsidR="00000000" w:rsidDel="00000000" w:rsidP="00000000" w:rsidRDefault="00000000" w:rsidRPr="00000000" w14:paraId="0000001E">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3">
    <w:pPr>
      <w:pageBreakBefore w:val="0"/>
      <w:spacing w:line="240" w:lineRule="auto"/>
      <w:rPr>
        <w:sz w:val="4"/>
        <w:szCs w:val="4"/>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line="240" w:lineRule="auto"/>
      <w:rPr>
        <w:sz w:val="4"/>
        <w:szCs w:val="4"/>
      </w:rPr>
    </w:pP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6">
          <w:pPr>
            <w:spacing w:line="240" w:lineRule="auto"/>
            <w:rPr>
              <w:b w:val="1"/>
            </w:rPr>
          </w:pPr>
          <w:r w:rsidDel="00000000" w:rsidR="00000000" w:rsidRPr="00000000">
            <w:rPr>
              <w:b w:val="1"/>
            </w:rPr>
            <w:drawing>
              <wp:inline distB="114300" distT="114300" distL="114300" distR="114300">
                <wp:extent cx="938213" cy="805447"/>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b w:val="1"/>
              <w:color w:val="073763"/>
            </w:rPr>
          </w:pPr>
          <w:r w:rsidDel="00000000" w:rsidR="00000000" w:rsidRPr="00000000">
            <w:rPr>
              <w:rFonts w:ascii="Calibri" w:cs="Calibri" w:eastAsia="Calibri" w:hAnsi="Calibri"/>
              <w:b w:val="1"/>
              <w:color w:val="073763"/>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8">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bl>
          <w:tblPr>
            <w:tblStyle w:val="Table4"/>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4011.1 Fixed Assets and Capitalization Policy  </w:t>
                </w:r>
              </w:p>
              <w:p w:rsidR="00000000" w:rsidDel="00000000" w:rsidP="00000000" w:rsidRDefault="00000000" w:rsidRPr="00000000" w14:paraId="0000002A">
                <w:pPr>
                  <w:widowControl w:val="0"/>
                  <w:spacing w:line="240" w:lineRule="auto"/>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E">
          <w:pPr>
            <w:widowControl w:val="0"/>
            <w:spacing w:line="240" w:lineRule="auto"/>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F">
    <w:pPr>
      <w:pageBreakBefore w:val="0"/>
      <w:rPr>
        <w:rFonts w:ascii="Times New Roman" w:cs="Times New Roman" w:eastAsia="Times New Roman" w:hAnsi="Times New Roman"/>
        <w:sz w:val="4"/>
        <w:szCs w:val="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