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Policy:</w:t>
      </w:r>
    </w:p>
    <w:p w:rsidR="00000000" w:rsidDel="00000000" w:rsidP="00000000" w:rsidRDefault="00000000" w:rsidRPr="00000000" w14:paraId="00000002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Governing Board believes that students who successfully take and complete specific high school level courses in math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Language Other than English (LOTE) shall earn equivalent high school credit for those courses. </w:t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27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27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27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Original Policy: 08/01/2019</w:t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ageBreakBefore w:val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5014.1 JCS, Inc. Middle School Credit Policy (JCS-LIVE only)</w:t>
      <w:tab/>
      <w:tab/>
      <w:tab/>
      <w:tab/>
      <w:tab/>
      <w:t xml:space="preserve">Page </w:t>
    </w: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spacing w:line="240" w:lineRule="auto"/>
      <w:rPr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10"/>
      <w:gridCol w:w="9090"/>
      <w:tblGridChange w:id="0">
        <w:tblGrid>
          <w:gridCol w:w="1710"/>
          <w:gridCol w:w="909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0">
          <w:pPr>
            <w:pageBreakBefore w:val="0"/>
            <w:spacing w:line="240" w:lineRule="auto"/>
            <w:rPr>
              <w:b w:val="1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938213" cy="80544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ageBreakBefore w:val="0"/>
            <w:spacing w:line="240" w:lineRule="auto"/>
            <w:rPr>
              <w:rFonts w:ascii="Calibri" w:cs="Calibri" w:eastAsia="Calibri" w:hAnsi="Calibri"/>
              <w:b w:val="1"/>
              <w:color w:val="073763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73763"/>
              <w:rtl w:val="0"/>
            </w:rPr>
            <w:t xml:space="preserve">JCS-Inc. Policies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90" w:right="0" w:firstLine="0"/>
            <w:jc w:val="left"/>
            <w:rPr>
              <w:rFonts w:ascii="Calibri" w:cs="Calibri" w:eastAsia="Calibri" w:hAnsi="Calibri"/>
              <w:b w:val="1"/>
              <w:color w:val="073763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892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4"/>
            <w:gridCol w:w="4464"/>
            <w:tblGridChange w:id="0">
              <w:tblGrid>
                <w:gridCol w:w="4464"/>
                <w:gridCol w:w="446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tcBorders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5014.1 Middle School Credit Policy (JCS LIVE Only)</w:t>
                  <w:br w:type="textWrapping"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Effective Date: August 1, 2019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pageBreakBefore w:val="0"/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073763"/>
                    <w:sz w:val="28"/>
                    <w:szCs w:val="28"/>
                    <w:rtl w:val="0"/>
                  </w:rPr>
                  <w:t xml:space="preserve">Approved by: Board of Directors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color w:val="07376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pageBreakBefore w:val="0"/>
      <w:spacing w:line="240" w:lineRule="auto"/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