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originator of the requisition shall gather details for purchasing from the vendor: Correct address, phone and contact information; whether the vendor will accept a Purchase Order; item numbers/price/availability.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Requisition Form will be completed, including vendor information, details of the products/services, and the school’s budget account code for each item.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originator will identify disbursement instructions.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Supporting documentation must be attached, such as a registration form, order form, or copy of a catalog page.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Purchase Order will be generated for each transaction.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Executive Director or designee must approve the purchase.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Executive Director  or designee will indicate whether a Purchase Order or Check is to be sent to the vendor.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Accounting will (1) verify sufficient balances in school accounts and (2) verify proper budget account coding.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Purchase orders shall be prepared and numbered by the accounting department. 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checks, the accounting department will prepare a report listing all checks to be issued.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Executive Director and an authorized Board Member or designee will sign and date the report as approved.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accounting department is authorized to release the checks only upon receipt of the signed and dated report.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copy of the report will be circulated to Board Members at least three days in advance of Board meetings.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Board will review and ratify expenditures as appropriate.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lineRule="auto"/>
        <w:ind w:left="630" w:hanging="4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Executive Director will present all contracts to the Board for approval upon entering any agreements.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27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Original Procedure: 03/10/03</w:t>
      </w:r>
    </w:p>
    <w:p w:rsidR="00000000" w:rsidDel="00000000" w:rsidP="00000000" w:rsidRDefault="00000000" w:rsidRPr="00000000" w14:paraId="00000015">
      <w:pPr>
        <w:tabs>
          <w:tab w:val="left" w:leader="none" w:pos="127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Procedure: 03/09/07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Procedure: 06/07/2019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4016.2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</w:t>
    </w:r>
    <w:r w:rsidDel="00000000" w:rsidR="00000000" w:rsidRPr="00000000">
      <w:rPr>
        <w:sz w:val="22"/>
        <w:szCs w:val="22"/>
        <w:rtl w:val="0"/>
      </w:rPr>
      <w:t xml:space="preserve">Purchasing Materials and Services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22"/>
        <w:szCs w:val="22"/>
        <w:rtl w:val="0"/>
      </w:rPr>
      <w:t xml:space="preserve">Admin Regs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sz w:val="22"/>
        <w:szCs w:val="22"/>
        <w:rtl w:val="0"/>
      </w:rPr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# ____ JCS, Inc. ___ Procedure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19">
          <w:pPr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A">
          <w:pPr>
            <w:pageBreakBefore w:val="0"/>
            <w:widowControl w:val="0"/>
            <w:ind w:left="0" w:firstLine="0"/>
            <w:rPr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B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6"/>
                    <w:szCs w:val="26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6"/>
                    <w:szCs w:val="26"/>
                    <w:rtl w:val="0"/>
                  </w:rPr>
                  <w:t xml:space="preserve">4016.2 Purchasing Materials and Services Administrative Regulations</w:t>
                </w:r>
              </w:p>
              <w:p w:rsidR="00000000" w:rsidDel="00000000" w:rsidP="00000000" w:rsidRDefault="00000000" w:rsidRPr="00000000" w14:paraId="0000001C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E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06/07/2019</w:t>
                </w:r>
              </w:p>
            </w:tc>
          </w:tr>
        </w:tbl>
        <w:p w:rsidR="00000000" w:rsidDel="00000000" w:rsidP="00000000" w:rsidRDefault="00000000" w:rsidRPr="00000000" w14:paraId="00000020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1">
          <w:pPr>
            <w:pageBreakBefore w:val="0"/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22">
          <w:pPr>
            <w:pageBreakBefore w:val="0"/>
            <w:widowControl w:val="0"/>
            <w:spacing w:after="0" w:before="0" w:line="240" w:lineRule="auto"/>
            <w:ind w:left="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