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Weapons and dangerous instruments include, but are not limited to: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360" w:hanging="360"/>
        <w:jc w:val="both"/>
        <w:rPr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Firearms:  pistols, revolvers, shotguns, rifles, "zip guns," "stun guns," tasers, and any other device capable of propelling a projectile by the force of an explosion or other form of combustion</w:t>
      </w:r>
    </w:p>
    <w:p w:rsidR="00000000" w:rsidDel="00000000" w:rsidP="00000000" w:rsidRDefault="00000000" w:rsidRPr="00000000" w14:paraId="00000005">
      <w:pPr>
        <w:pageBreakBefore w:val="0"/>
        <w:ind w:left="720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360" w:hanging="360"/>
        <w:jc w:val="both"/>
        <w:rPr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Knives: any dirks, daggers or other weapons with a fixed, sharpened blade fitted primarily for stabbing, weapons with a blade fitted primarily for stabbing, weapons with a blade longer than 3-1/2 inches, folding knives with a blade that locks into place, and razors with an unguarded blade </w:t>
      </w:r>
    </w:p>
    <w:p w:rsidR="00000000" w:rsidDel="00000000" w:rsidP="00000000" w:rsidRDefault="00000000" w:rsidRPr="00000000" w14:paraId="00000007">
      <w:pPr>
        <w:pageBreakBefore w:val="0"/>
        <w:ind w:left="720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360" w:hanging="360"/>
        <w:jc w:val="both"/>
        <w:rPr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Explosive and/or incendiary devices:  pipe bombs, time bombs, cap guns, containers of inflammable fluids, and other hazardous devices</w:t>
        <w:br w:type="textWrapping"/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360" w:hanging="360"/>
        <w:jc w:val="both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Any instrument that expels a metallic projectile, such as a BB or a pellet, through the force of air pressure, carbon dioxide pressure or spring action, or any spot marker gun (Penal Code </w:t>
      </w:r>
      <w:r w:rsidDel="00000000" w:rsidR="00000000" w:rsidRPr="00000000">
        <w:rPr>
          <w:color w:val="0000ff"/>
          <w:sz w:val="24"/>
          <w:szCs w:val="24"/>
          <w:highlight w:val="white"/>
          <w:u w:val="single"/>
          <w:rtl w:val="0"/>
        </w:rPr>
        <w:t xml:space="preserve">626.10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pageBreakBefore w:val="0"/>
        <w:ind w:left="720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360" w:hanging="360"/>
        <w:jc w:val="both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Any other dangerous device, instrument or weapon, especially those defined in Penal Code </w:t>
      </w:r>
      <w:r w:rsidDel="00000000" w:rsidR="00000000" w:rsidRPr="00000000">
        <w:rPr>
          <w:color w:val="0000ff"/>
          <w:sz w:val="24"/>
          <w:szCs w:val="24"/>
          <w:highlight w:val="white"/>
          <w:u w:val="single"/>
          <w:rtl w:val="0"/>
        </w:rPr>
        <w:t xml:space="preserve">12020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including a blackjack, slingshot, billy, nunchaku,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sand club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sandbag, metal knuckles, or any metal plate with three or more radiating points with one or more sharp edges designed for use as a weapon</w:t>
      </w:r>
    </w:p>
    <w:p w:rsidR="00000000" w:rsidDel="00000000" w:rsidP="00000000" w:rsidRDefault="00000000" w:rsidRPr="00000000" w14:paraId="0000000C">
      <w:pPr>
        <w:pageBreakBefore w:val="0"/>
        <w:ind w:left="720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360" w:hanging="360"/>
        <w:jc w:val="both"/>
        <w:rPr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Any imitation firearm, defined as a replica of a firearm that is so substantially similar in physical properties to an existing firearm as to lead a reasonable person to conclude that the replica is a firearm 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If an employee knows that a student possesses any of the above devices, he/she shall use his/her own judgment as to the dangerousness of the situation and, based upon this analysis, shall do one of the following: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360" w:hanging="360"/>
        <w:jc w:val="both"/>
        <w:rPr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Confiscate the object and deliver it to the School Director or designee immediately</w:t>
      </w:r>
    </w:p>
    <w:p w:rsidR="00000000" w:rsidDel="00000000" w:rsidP="00000000" w:rsidRDefault="00000000" w:rsidRPr="00000000" w14:paraId="00000014">
      <w:pPr>
        <w:pageBreakBefore w:val="0"/>
        <w:ind w:left="720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360" w:hanging="360"/>
        <w:jc w:val="both"/>
        <w:rPr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Immediately notify the School Director or designee, who shall take appropriate action</w:t>
      </w:r>
    </w:p>
    <w:p w:rsidR="00000000" w:rsidDel="00000000" w:rsidP="00000000" w:rsidRDefault="00000000" w:rsidRPr="00000000" w14:paraId="00000016">
      <w:pPr>
        <w:pageBreakBefore w:val="0"/>
        <w:ind w:left="720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360" w:hanging="360"/>
        <w:jc w:val="both"/>
        <w:rPr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Immediately notify the local law enforcement agency and the School Director or designee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When informing the School Director or designee about the possession or seizure of a weapon or dangerous device, the employee shall report the name(s) of persons involved, witnesses, location, and the circumstances of any seizure.  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The School Director or designee shall report any possession of a weapon or dangerous instrument, including imitation firearm, to the student's parents/guardians by telephone or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in-person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and shall follow this notification with a letter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 to Weapons and Dangerous Instruments Policy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680"/>
        <w:tab w:val="right" w:leader="none" w:pos="9360"/>
      </w:tabs>
      <w:rPr>
        <w:rFonts w:ascii="Arial" w:cs="Arial" w:eastAsia="Arial" w:hAnsi="Arial"/>
        <w:i w:val="1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JCS, Inc. Weapons and Dangerous Instruments Policy</w:t>
      <w:tab/>
      <w:t xml:space="preserve"> 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leader="none" w:pos="4680"/>
        <w:tab w:val="right" w:leader="none" w:pos="936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JCS, Inc. Weapons and Dangerous Instruments Admin Regulations</w:t>
      <w:tab/>
      <w:t xml:space="preserve"> 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Calibri" w:cs="Calibri" w:eastAsia="Calibri" w:hAnsi="Calibri"/>
        <w:b w:val="1"/>
        <w:color w:val="07376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leader="none" w:pos="4680"/>
        <w:tab w:val="right" w:leader="none" w:pos="9360"/>
      </w:tabs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25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6">
          <w:pPr>
            <w:widowControl w:val="0"/>
            <w:rPr>
              <w:rFonts w:ascii="Calibri" w:cs="Calibri" w:eastAsia="Calibri" w:hAnsi="Calibri"/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27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5039.2 Weapons and Dangerous Instruments Administrative Regulations</w:t>
                </w:r>
              </w:p>
              <w:p w:rsidR="00000000" w:rsidDel="00000000" w:rsidP="00000000" w:rsidRDefault="00000000" w:rsidRPr="00000000" w14:paraId="00000028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2A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March 10, 2023</w:t>
                </w:r>
              </w:p>
            </w:tc>
          </w:tr>
        </w:tbl>
        <w:p w:rsidR="00000000" w:rsidDel="00000000" w:rsidP="00000000" w:rsidRDefault="00000000" w:rsidRPr="00000000" w14:paraId="0000002C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D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E">
          <w:pPr>
            <w:widowControl w:val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-yvj8MoLHy2F8Mc3rmKeFMszPOhtIRcq3QSg3yFLTFE/edit?usp=shari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